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550C90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3547B">
        <w:t>11</w:t>
      </w:r>
      <w:r w:rsidR="005A4EE2">
        <w:t>2</w:t>
      </w:r>
      <w:r w:rsidR="0006526C">
        <w:t>bis-e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B3547B">
        <w:rPr>
          <w:sz w:val="32"/>
          <w:szCs w:val="32"/>
        </w:rPr>
        <w:t>2</w:t>
      </w:r>
      <w:r w:rsidR="005A4EE2">
        <w:rPr>
          <w:sz w:val="32"/>
          <w:szCs w:val="32"/>
        </w:rPr>
        <w:t>3</w:t>
      </w:r>
      <w:r w:rsidR="002C4882">
        <w:rPr>
          <w:sz w:val="32"/>
          <w:szCs w:val="32"/>
        </w:rPr>
        <w:t>0</w:t>
      </w:r>
      <w:r w:rsidR="00D94302">
        <w:rPr>
          <w:sz w:val="32"/>
          <w:szCs w:val="32"/>
        </w:rPr>
        <w:t>2413</w:t>
      </w:r>
    </w:p>
    <w:p w14:paraId="0CE7B7E6" w14:textId="54AA39E8" w:rsidR="00E90E49" w:rsidRPr="00CE0424" w:rsidRDefault="0006526C" w:rsidP="00311702">
      <w:pPr>
        <w:pStyle w:val="3GPPHeader"/>
      </w:pPr>
      <w:r w:rsidRPr="0006526C">
        <w:t>e-Meeting, April 17</w:t>
      </w:r>
      <w:r w:rsidRPr="0006526C">
        <w:rPr>
          <w:vertAlign w:val="superscript"/>
        </w:rPr>
        <w:t>th</w:t>
      </w:r>
      <w:r>
        <w:t xml:space="preserve"> </w:t>
      </w:r>
      <w:r w:rsidRPr="0006526C">
        <w:t>– April 26</w:t>
      </w:r>
      <w:r w:rsidRPr="0006526C">
        <w:rPr>
          <w:vertAlign w:val="superscript"/>
        </w:rPr>
        <w:t>th</w:t>
      </w:r>
      <w:r>
        <w:t>,</w:t>
      </w:r>
      <w:r w:rsidRPr="0006526C">
        <w:t xml:space="preserve"> </w:t>
      </w:r>
      <w:r>
        <w:t>2023</w:t>
      </w:r>
    </w:p>
    <w:p w14:paraId="3086AC07" w14:textId="77777777" w:rsidR="00E90E49" w:rsidRPr="00CE0424" w:rsidRDefault="00E90E49" w:rsidP="00357380">
      <w:pPr>
        <w:pStyle w:val="3GPPHeader"/>
      </w:pPr>
    </w:p>
    <w:p w14:paraId="3982483C" w14:textId="3236F6F8" w:rsidR="00E90E49" w:rsidRPr="005968C8" w:rsidRDefault="00E90E49" w:rsidP="00311702">
      <w:pPr>
        <w:pStyle w:val="3GPPHeader"/>
        <w:rPr>
          <w:sz w:val="22"/>
        </w:rPr>
      </w:pPr>
      <w:r w:rsidRPr="005968C8">
        <w:rPr>
          <w:sz w:val="22"/>
        </w:rPr>
        <w:t>Agenda Item:</w:t>
      </w:r>
      <w:r w:rsidRPr="005968C8">
        <w:rPr>
          <w:sz w:val="22"/>
        </w:rPr>
        <w:tab/>
      </w:r>
      <w:r w:rsidR="00B3547B" w:rsidRPr="005968C8">
        <w:rPr>
          <w:sz w:val="22"/>
        </w:rPr>
        <w:t>9.1</w:t>
      </w:r>
      <w:r w:rsidR="0006526C" w:rsidRPr="005968C8">
        <w:rPr>
          <w:sz w:val="22"/>
        </w:rPr>
        <w:t>0</w:t>
      </w:r>
      <w:r w:rsidR="00B3547B" w:rsidRPr="005968C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6D0B27" w:rsidR="00E90E49" w:rsidRPr="00CE0424" w:rsidRDefault="003D3C45" w:rsidP="00311702">
      <w:pPr>
        <w:pStyle w:val="3GPPHeader"/>
        <w:rPr>
          <w:sz w:val="22"/>
        </w:rPr>
      </w:pPr>
      <w:r>
        <w:rPr>
          <w:sz w:val="22"/>
        </w:rPr>
        <w:t>Title:</w:t>
      </w:r>
      <w:r w:rsidR="00E90E49" w:rsidRPr="00CE0424">
        <w:rPr>
          <w:sz w:val="22"/>
        </w:rPr>
        <w:tab/>
      </w:r>
      <w:r w:rsidR="006A3C39">
        <w:rPr>
          <w:sz w:val="22"/>
        </w:rPr>
        <w:t>L1 enhancements to inter-cell beam management</w:t>
      </w:r>
    </w:p>
    <w:p w14:paraId="2D5672ED" w14:textId="1042BDB9" w:rsidR="00E90E49" w:rsidRPr="0033083A" w:rsidRDefault="00E90E49" w:rsidP="0033083A">
      <w:pPr>
        <w:pStyle w:val="3GPPHeader"/>
        <w:rPr>
          <w:sz w:val="22"/>
        </w:rPr>
      </w:pPr>
      <w:r w:rsidRPr="00CE0424">
        <w:rPr>
          <w:sz w:val="22"/>
        </w:rPr>
        <w:t>Document for:</w:t>
      </w:r>
      <w:r w:rsidRPr="00CE0424">
        <w:rPr>
          <w:sz w:val="22"/>
        </w:rPr>
        <w:tab/>
      </w:r>
      <w:r w:rsidRPr="00B3547B">
        <w:rPr>
          <w:sz w:val="22"/>
        </w:rPr>
        <w:t>Discussion</w:t>
      </w:r>
    </w:p>
    <w:p w14:paraId="314EFDA2" w14:textId="183B5186" w:rsidR="00B925DF" w:rsidRPr="00705C7A" w:rsidRDefault="00E90E49" w:rsidP="00FA6C5A">
      <w:pPr>
        <w:pStyle w:val="Heading1"/>
        <w:numPr>
          <w:ilvl w:val="0"/>
          <w:numId w:val="29"/>
        </w:numPr>
      </w:pPr>
      <w:bookmarkStart w:id="0" w:name="_Ref114840340"/>
      <w:r w:rsidRPr="00CE0424">
        <w:t>Introduction</w:t>
      </w:r>
      <w:bookmarkEnd w:id="0"/>
    </w:p>
    <w:p w14:paraId="7BE4CA8B" w14:textId="6021A4CF" w:rsidR="00AE217F" w:rsidRDefault="005E6B68" w:rsidP="00705C7A">
      <w:r>
        <w:rPr>
          <w:lang w:val="en-GB" w:eastAsia="ja-JP"/>
        </w:rPr>
        <w:t>L1/</w:t>
      </w:r>
      <w:r w:rsidR="00AE217F">
        <w:rPr>
          <w:lang w:val="en-GB" w:eastAsia="ja-JP"/>
        </w:rPr>
        <w:t>L</w:t>
      </w:r>
      <w:r>
        <w:rPr>
          <w:lang w:val="en-GB" w:eastAsia="ja-JP"/>
        </w:rPr>
        <w:t xml:space="preserve">2 mobility </w:t>
      </w:r>
      <w:r w:rsidR="00B41FE5">
        <w:rPr>
          <w:lang w:val="en-GB" w:eastAsia="ja-JP"/>
        </w:rPr>
        <w:t xml:space="preserve">(LTM) </w:t>
      </w:r>
      <w:r>
        <w:rPr>
          <w:lang w:val="en-GB" w:eastAsia="ja-JP"/>
        </w:rPr>
        <w:t xml:space="preserve">is the main part of the Rel-18 work item </w:t>
      </w:r>
      <w:r>
        <w:rPr>
          <w:lang w:val="en-GB" w:eastAsia="ja-JP"/>
        </w:rPr>
        <w:fldChar w:fldCharType="begin"/>
      </w:r>
      <w:r>
        <w:rPr>
          <w:lang w:val="en-GB" w:eastAsia="ja-JP"/>
        </w:rPr>
        <w:instrText xml:space="preserve"> REF _Ref114816142 \r \h </w:instrText>
      </w:r>
      <w:r>
        <w:rPr>
          <w:lang w:val="en-GB" w:eastAsia="ja-JP"/>
        </w:rPr>
      </w:r>
      <w:r>
        <w:rPr>
          <w:lang w:val="en-GB" w:eastAsia="ja-JP"/>
        </w:rPr>
        <w:fldChar w:fldCharType="separate"/>
      </w:r>
      <w:r w:rsidR="00837713">
        <w:rPr>
          <w:lang w:val="en-GB" w:eastAsia="ja-JP"/>
        </w:rPr>
        <w:t>[1]</w:t>
      </w:r>
      <w:r>
        <w:rPr>
          <w:lang w:val="en-GB" w:eastAsia="ja-JP"/>
        </w:rPr>
        <w:fldChar w:fldCharType="end"/>
      </w:r>
      <w:r>
        <w:rPr>
          <w:lang w:val="en-GB" w:eastAsia="ja-JP"/>
        </w:rPr>
        <w:t>. In the Rel-18 mobility WI, the serving cell</w:t>
      </w:r>
      <w:r w:rsidR="00E73C2B">
        <w:rPr>
          <w:lang w:val="en-GB" w:eastAsia="ja-JP"/>
        </w:rPr>
        <w:t xml:space="preserve">s </w:t>
      </w:r>
      <w:r w:rsidR="00B37B1F">
        <w:rPr>
          <w:lang w:val="en-GB" w:eastAsia="ja-JP"/>
        </w:rPr>
        <w:t xml:space="preserve">of the UE </w:t>
      </w:r>
      <w:r w:rsidR="00E73C2B">
        <w:rPr>
          <w:lang w:val="en-GB" w:eastAsia="ja-JP"/>
        </w:rPr>
        <w:t>will be updated based on an indication provided</w:t>
      </w:r>
      <w:r w:rsidR="001E2888">
        <w:rPr>
          <w:lang w:val="en-GB" w:eastAsia="ja-JP"/>
        </w:rPr>
        <w:t xml:space="preserve"> in MAC</w:t>
      </w:r>
      <w:r>
        <w:rPr>
          <w:lang w:val="en-GB" w:eastAsia="ja-JP"/>
        </w:rPr>
        <w:t>.</w:t>
      </w:r>
      <w:r w:rsidR="00E73C2B">
        <w:rPr>
          <w:lang w:val="en-GB" w:eastAsia="ja-JP"/>
        </w:rPr>
        <w:t xml:space="preserve"> </w:t>
      </w:r>
    </w:p>
    <w:p w14:paraId="38534580" w14:textId="35DF2AF6" w:rsidR="00705C7A" w:rsidRDefault="00705C7A" w:rsidP="00CE0424">
      <w:pPr>
        <w:pStyle w:val="BodyText"/>
      </w:pPr>
      <w:r>
        <w:t>There has been reasonable progress on LTM. Initial agreements have been made on beam indication and beam reporting</w:t>
      </w:r>
      <w:r w:rsidR="00B41FE5">
        <w:t xml:space="preserve">. </w:t>
      </w:r>
      <w:r>
        <w:t>The next level of details to be agreed for beam indication and LTM reporting are:</w:t>
      </w:r>
    </w:p>
    <w:p w14:paraId="4DCB8AF7" w14:textId="03956EA9" w:rsidR="00705C7A" w:rsidRDefault="00705C7A" w:rsidP="00705C7A">
      <w:pPr>
        <w:pStyle w:val="ListBullet"/>
      </w:pPr>
      <w:r>
        <w:t>The format of the beam indication, and the support for the Rel-15 TCI framework. With an agreement on these issues, the beam indication functionality in LTM would be done.</w:t>
      </w:r>
      <w:r w:rsidR="00B37B1F">
        <w:t xml:space="preserve"> RAN1 could also conclude there is no consensus to support Scenario 1: beam indication before cell-switch.</w:t>
      </w:r>
    </w:p>
    <w:p w14:paraId="368F11C6" w14:textId="04C260AA" w:rsidR="00705C7A" w:rsidRDefault="00705C7A" w:rsidP="00705C7A">
      <w:pPr>
        <w:pStyle w:val="ListBullet"/>
      </w:pPr>
      <w:r>
        <w:t>The applicable measurement RSs. So far, SSB has been agreed. It would be good to finalize which measurement RSs are supported – alternatively conclude there is no consensus to support additional measurement RSs.</w:t>
      </w:r>
    </w:p>
    <w:p w14:paraId="1C9B366F" w14:textId="641DB754" w:rsidR="00705C7A" w:rsidRPr="00705C7A" w:rsidRDefault="00705C7A" w:rsidP="00705C7A">
      <w:pPr>
        <w:pStyle w:val="ListBullet"/>
      </w:pPr>
      <w:r>
        <w:t xml:space="preserve">The reporting </w:t>
      </w:r>
      <w:r w:rsidR="00511561">
        <w:t>formats</w:t>
      </w:r>
      <w:r>
        <w:t xml:space="preserve">. So far, UCI over </w:t>
      </w:r>
      <w:r w:rsidRPr="00705C7A">
        <w:t>PUSCH</w:t>
      </w:r>
      <w:r>
        <w:t xml:space="preserve"> has been agreed</w:t>
      </w:r>
      <w:r w:rsidR="00B37B1F">
        <w:t>, but the details of the reporting format must be settled. Also, a</w:t>
      </w:r>
      <w:r>
        <w:t xml:space="preserve">dditional reporting channels/containers should be discarded. </w:t>
      </w:r>
    </w:p>
    <w:p w14:paraId="1BA08305" w14:textId="500637E4" w:rsidR="004116CF" w:rsidRDefault="004116CF" w:rsidP="00CE0424">
      <w:pPr>
        <w:pStyle w:val="BodyText"/>
      </w:pPr>
      <w:r>
        <w:t>I</w:t>
      </w:r>
      <w:r w:rsidR="003C1B1F">
        <w:t>n</w:t>
      </w:r>
      <w:r>
        <w:t xml:space="preserve"> this contribution, we discuss </w:t>
      </w:r>
      <w:r w:rsidR="00C22E60">
        <w:t xml:space="preserve">LTM, with focus on </w:t>
      </w:r>
      <w:r w:rsidR="00511561">
        <w:t>the above issues.</w:t>
      </w:r>
      <w:r w:rsidR="00705C7A">
        <w:t xml:space="preserve"> </w:t>
      </w:r>
    </w:p>
    <w:p w14:paraId="60123794" w14:textId="4B77FCC3" w:rsidR="004000E8" w:rsidRDefault="00230D18" w:rsidP="00CE0424">
      <w:pPr>
        <w:pStyle w:val="Heading1"/>
      </w:pPr>
      <w:r>
        <w:t>2</w:t>
      </w:r>
      <w:r>
        <w:tab/>
      </w:r>
      <w:bookmarkStart w:id="1" w:name="_Ref178064866"/>
      <w:r w:rsidR="004000E8" w:rsidRPr="00CE0424">
        <w:t>Discussion</w:t>
      </w:r>
      <w:bookmarkEnd w:id="1"/>
    </w:p>
    <w:p w14:paraId="5528A1D3" w14:textId="734A77DE" w:rsidR="000E46D6" w:rsidRPr="000E46D6" w:rsidRDefault="000E46D6" w:rsidP="000E46D6">
      <w:pPr>
        <w:rPr>
          <w:lang w:val="en-GB" w:eastAsia="ja-JP"/>
        </w:rPr>
      </w:pPr>
      <w:r>
        <w:rPr>
          <w:lang w:val="en-GB" w:eastAsia="ja-JP"/>
        </w:rPr>
        <w:t xml:space="preserve">The main motivation of </w:t>
      </w:r>
      <w:r w:rsidR="00C22E60">
        <w:rPr>
          <w:lang w:val="en-GB" w:eastAsia="ja-JP"/>
        </w:rPr>
        <w:t xml:space="preserve">LTM </w:t>
      </w:r>
      <w:r>
        <w:rPr>
          <w:lang w:val="en-GB" w:eastAsia="ja-JP"/>
        </w:rPr>
        <w:t>is to reduce the interruption, although there may be benefits also related to robustness.</w:t>
      </w:r>
      <w:r w:rsidR="004D784F">
        <w:rPr>
          <w:lang w:val="en-GB" w:eastAsia="ja-JP"/>
        </w:rPr>
        <w:t xml:space="preserve"> To understand how </w:t>
      </w:r>
      <w:r w:rsidR="00152ED7">
        <w:rPr>
          <w:lang w:val="en-GB" w:eastAsia="ja-JP"/>
        </w:rPr>
        <w:t>LTM</w:t>
      </w:r>
      <w:r w:rsidR="004D784F">
        <w:rPr>
          <w:lang w:val="en-GB" w:eastAsia="ja-JP"/>
        </w:rPr>
        <w:t xml:space="preserve"> would reduce the interruption, it is important to investigate what causes the interrupt for a handover.</w:t>
      </w:r>
    </w:p>
    <w:p w14:paraId="6C14285A" w14:textId="1E3ADDDC" w:rsidR="00471AEA" w:rsidRDefault="00471AEA" w:rsidP="006A3C39">
      <w:pPr>
        <w:rPr>
          <w:lang w:val="en-GB" w:eastAsia="en-GB"/>
        </w:rPr>
      </w:pPr>
      <w:r>
        <w:rPr>
          <w:lang w:val="en-GB" w:eastAsia="en-GB"/>
        </w:rPr>
        <w:t xml:space="preserve">Our understanding of the overall LTM procedure is illustrated in </w:t>
      </w:r>
      <w:r>
        <w:rPr>
          <w:lang w:val="en-GB" w:eastAsia="en-GB"/>
        </w:rPr>
        <w:fldChar w:fldCharType="begin"/>
      </w:r>
      <w:r>
        <w:rPr>
          <w:lang w:val="en-GB" w:eastAsia="en-GB"/>
        </w:rPr>
        <w:instrText xml:space="preserve"> REF _Ref127371933 \h </w:instrText>
      </w:r>
      <w:r>
        <w:rPr>
          <w:lang w:val="en-GB" w:eastAsia="en-GB"/>
        </w:rPr>
      </w:r>
      <w:r>
        <w:rPr>
          <w:lang w:val="en-GB" w:eastAsia="en-GB"/>
        </w:rPr>
        <w:fldChar w:fldCharType="separate"/>
      </w:r>
      <w:r w:rsidR="00837713">
        <w:t xml:space="preserve">Figure </w:t>
      </w:r>
      <w:r w:rsidR="00837713">
        <w:rPr>
          <w:noProof/>
        </w:rPr>
        <w:t>1</w:t>
      </w:r>
      <w:r>
        <w:rPr>
          <w:lang w:val="en-GB" w:eastAsia="en-GB"/>
        </w:rPr>
        <w:fldChar w:fldCharType="end"/>
      </w:r>
      <w:r>
        <w:rPr>
          <w:lang w:val="en-GB" w:eastAsia="en-GB"/>
        </w:rPr>
        <w:t>.</w:t>
      </w:r>
    </w:p>
    <w:p w14:paraId="7AFAEA2A" w14:textId="2C0DC1FF" w:rsidR="00471AEA" w:rsidRDefault="00EA6A96" w:rsidP="006F27F6">
      <w:pPr>
        <w:jc w:val="center"/>
        <w:rPr>
          <w:lang w:val="en-GB" w:eastAsia="en-GB"/>
        </w:rPr>
      </w:pPr>
      <w:r w:rsidRPr="00EA6A96">
        <w:rPr>
          <w:noProof/>
        </w:rPr>
        <w:lastRenderedPageBreak/>
        <w:drawing>
          <wp:inline distT="0" distB="0" distL="0" distR="0" wp14:anchorId="0F064D0A" wp14:editId="7A056072">
            <wp:extent cx="4419600" cy="2767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9600" cy="2767102"/>
                    </a:xfrm>
                    <a:prstGeom prst="rect">
                      <a:avLst/>
                    </a:prstGeom>
                    <a:noFill/>
                    <a:ln>
                      <a:noFill/>
                    </a:ln>
                  </pic:spPr>
                </pic:pic>
              </a:graphicData>
            </a:graphic>
          </wp:inline>
        </w:drawing>
      </w:r>
    </w:p>
    <w:p w14:paraId="665234F9" w14:textId="6B1DB0F3" w:rsidR="00471AEA" w:rsidRDefault="00471AEA" w:rsidP="00471AEA">
      <w:pPr>
        <w:pStyle w:val="Caption"/>
        <w:rPr>
          <w:lang w:val="en-GB"/>
        </w:rPr>
      </w:pPr>
      <w:bookmarkStart w:id="2" w:name="_Ref127371933"/>
      <w:r>
        <w:t xml:space="preserve">Figure </w:t>
      </w:r>
      <w:r>
        <w:fldChar w:fldCharType="begin"/>
      </w:r>
      <w:r>
        <w:instrText xml:space="preserve"> SEQ Figure \* ARABIC </w:instrText>
      </w:r>
      <w:r>
        <w:fldChar w:fldCharType="separate"/>
      </w:r>
      <w:r w:rsidR="00837713">
        <w:rPr>
          <w:noProof/>
        </w:rPr>
        <w:t>1</w:t>
      </w:r>
      <w:r>
        <w:fldChar w:fldCharType="end"/>
      </w:r>
      <w:bookmarkEnd w:id="2"/>
      <w:r>
        <w:t>: Illustration of the overall LTM procedure</w:t>
      </w:r>
      <w:r w:rsidR="001E2888">
        <w:t>, with a simplified illustration of t</w:t>
      </w:r>
      <w:r>
        <w:t xml:space="preserve">he intra-RAN </w:t>
      </w:r>
      <w:r w:rsidR="00125798">
        <w:t>signaling</w:t>
      </w:r>
      <w:r w:rsidR="001E2888">
        <w:t>.</w:t>
      </w:r>
      <w:r w:rsidR="00EA6A96">
        <w:t xml:space="preserve"> </w:t>
      </w:r>
      <w:r w:rsidR="001E2888">
        <w:t xml:space="preserve">PDCCH-ordered RACH without RAR is assumed. </w:t>
      </w:r>
      <w:r w:rsidR="00EA6A96">
        <w:t>Note that since RAN1 agreed that the reporting is conveyed over UCI, the serving cell configuration needs to be updated in step2.</w:t>
      </w:r>
    </w:p>
    <w:p w14:paraId="53A123CF" w14:textId="22D4A595" w:rsidR="00E8798F" w:rsidRDefault="00E8798F" w:rsidP="00511561">
      <w:pPr>
        <w:rPr>
          <w:lang w:val="en-GB"/>
        </w:rPr>
      </w:pPr>
      <w:r>
        <w:rPr>
          <w:lang w:val="en-GB"/>
        </w:rPr>
        <w:t>The steps of the</w:t>
      </w:r>
      <w:r w:rsidR="00471AEA">
        <w:rPr>
          <w:lang w:val="en-GB"/>
        </w:rPr>
        <w:t xml:space="preserve"> LTM procedure </w:t>
      </w:r>
      <w:r>
        <w:rPr>
          <w:lang w:val="en-GB"/>
        </w:rPr>
        <w:t>are described below:</w:t>
      </w:r>
    </w:p>
    <w:p w14:paraId="3BE69E9F" w14:textId="7F37C675" w:rsidR="00E8798F" w:rsidRDefault="00683DCD" w:rsidP="00683DCD">
      <w:pPr>
        <w:pStyle w:val="ListBullet"/>
        <w:rPr>
          <w:lang w:val="en-GB"/>
        </w:rPr>
      </w:pPr>
      <w:r>
        <w:rPr>
          <w:lang w:val="en-GB"/>
        </w:rPr>
        <w:t>Step1: T</w:t>
      </w:r>
      <w:r w:rsidR="00E8798F">
        <w:rPr>
          <w:lang w:val="en-GB"/>
        </w:rPr>
        <w:t xml:space="preserve">he UE sends a L3 measurement report to the </w:t>
      </w:r>
      <w:r w:rsidR="007B3768">
        <w:rPr>
          <w:lang w:val="en-GB"/>
        </w:rPr>
        <w:t>network</w:t>
      </w:r>
      <w:r>
        <w:rPr>
          <w:lang w:val="en-GB"/>
        </w:rPr>
        <w:t>.</w:t>
      </w:r>
    </w:p>
    <w:p w14:paraId="645F3E8C" w14:textId="6E9F3E23" w:rsidR="00683DCD" w:rsidRDefault="00683DCD" w:rsidP="00683DCD">
      <w:pPr>
        <w:pStyle w:val="ListBullet"/>
        <w:rPr>
          <w:lang w:val="en-GB"/>
        </w:rPr>
      </w:pPr>
      <w:r>
        <w:rPr>
          <w:lang w:val="en-GB"/>
        </w:rPr>
        <w:t xml:space="preserve">Step 2: The </w:t>
      </w:r>
      <w:r w:rsidR="007B3768">
        <w:rPr>
          <w:lang w:val="en-GB"/>
        </w:rPr>
        <w:t>network</w:t>
      </w:r>
      <w:r>
        <w:rPr>
          <w:lang w:val="en-GB"/>
        </w:rPr>
        <w:t xml:space="preserve"> configures the UE with a set of candidates, and associated L1 measurement configurations</w:t>
      </w:r>
      <w:r w:rsidR="00EA6A96">
        <w:rPr>
          <w:lang w:val="en-GB"/>
        </w:rPr>
        <w:t xml:space="preserve">. Since the </w:t>
      </w:r>
      <w:r w:rsidR="00B37B1F">
        <w:rPr>
          <w:lang w:val="en-GB"/>
        </w:rPr>
        <w:t>subsequent lower-layer measurements</w:t>
      </w:r>
      <w:r w:rsidR="00EA6A96">
        <w:rPr>
          <w:lang w:val="en-GB"/>
        </w:rPr>
        <w:t xml:space="preserve"> </w:t>
      </w:r>
      <w:r w:rsidR="00B37B1F">
        <w:rPr>
          <w:lang w:val="en-GB"/>
        </w:rPr>
        <w:t>are</w:t>
      </w:r>
      <w:r w:rsidR="00EA6A96">
        <w:rPr>
          <w:lang w:val="en-GB"/>
        </w:rPr>
        <w:t xml:space="preserve"> conveyed over UCI, the serving cell configuration needs to be updated.</w:t>
      </w:r>
    </w:p>
    <w:p w14:paraId="72A5F18C" w14:textId="1E6B500F" w:rsidR="00683DCD" w:rsidRDefault="00683DCD" w:rsidP="00683DCD">
      <w:pPr>
        <w:pStyle w:val="ListBullet"/>
        <w:rPr>
          <w:lang w:val="en-GB"/>
        </w:rPr>
      </w:pPr>
      <w:r>
        <w:rPr>
          <w:lang w:val="en-GB"/>
        </w:rPr>
        <w:t xml:space="preserve">Step 3: The UE measures and reports a set of candidates. At some point in time, the </w:t>
      </w:r>
      <w:r w:rsidR="007B3768">
        <w:rPr>
          <w:lang w:val="en-GB"/>
        </w:rPr>
        <w:t>network</w:t>
      </w:r>
      <w:r>
        <w:rPr>
          <w:lang w:val="en-GB"/>
        </w:rPr>
        <w:t xml:space="preserve"> decides to perform a cell-switch to one of the candidates.</w:t>
      </w:r>
    </w:p>
    <w:p w14:paraId="0CAFC0A1" w14:textId="7B4A69F2" w:rsidR="00683DCD" w:rsidRDefault="00683DCD" w:rsidP="00683DCD">
      <w:pPr>
        <w:pStyle w:val="ListBullet"/>
        <w:rPr>
          <w:lang w:val="en-GB"/>
        </w:rPr>
      </w:pPr>
      <w:r>
        <w:rPr>
          <w:lang w:val="en-GB"/>
        </w:rPr>
        <w:t xml:space="preserve">Step 4: The </w:t>
      </w:r>
      <w:r w:rsidR="007B3768">
        <w:rPr>
          <w:lang w:val="en-GB"/>
        </w:rPr>
        <w:t>network</w:t>
      </w:r>
      <w:r>
        <w:rPr>
          <w:lang w:val="en-GB"/>
        </w:rPr>
        <w:t xml:space="preserve"> sends a PDCCH order to the UE to send a PRACH preamble towards a selected target.</w:t>
      </w:r>
    </w:p>
    <w:p w14:paraId="04255976" w14:textId="6821118C" w:rsidR="00683DCD" w:rsidRDefault="00683DCD" w:rsidP="00683DCD">
      <w:pPr>
        <w:pStyle w:val="ListBullet"/>
        <w:rPr>
          <w:lang w:val="en-GB"/>
        </w:rPr>
      </w:pPr>
      <w:r>
        <w:rPr>
          <w:lang w:val="en-GB"/>
        </w:rPr>
        <w:t>Step 5: The UE transmits the PRACH towards the selected target</w:t>
      </w:r>
      <w:r w:rsidR="005968C8">
        <w:rPr>
          <w:lang w:val="en-GB"/>
        </w:rPr>
        <w:t xml:space="preserve"> cell.</w:t>
      </w:r>
    </w:p>
    <w:p w14:paraId="4D424BDC" w14:textId="32F14F00" w:rsidR="00683DCD" w:rsidRDefault="00683DCD" w:rsidP="00683DCD">
      <w:pPr>
        <w:pStyle w:val="ListBullet"/>
        <w:rPr>
          <w:lang w:val="en-GB"/>
        </w:rPr>
      </w:pPr>
      <w:r>
        <w:rPr>
          <w:lang w:val="en-GB"/>
        </w:rPr>
        <w:t>Step 6: The target estimates the TA and forwards it to the serving</w:t>
      </w:r>
      <w:r w:rsidR="005968C8">
        <w:rPr>
          <w:lang w:val="en-GB"/>
        </w:rPr>
        <w:t xml:space="preserve"> cell</w:t>
      </w:r>
      <w:r>
        <w:rPr>
          <w:lang w:val="en-GB"/>
        </w:rPr>
        <w:t>.</w:t>
      </w:r>
    </w:p>
    <w:p w14:paraId="1E38224D" w14:textId="48392E89" w:rsidR="00683DCD" w:rsidRPr="00683DCD" w:rsidRDefault="00683DCD" w:rsidP="00683DCD">
      <w:pPr>
        <w:pStyle w:val="ListBullet"/>
        <w:rPr>
          <w:lang w:val="en-GB"/>
        </w:rPr>
      </w:pPr>
      <w:r>
        <w:rPr>
          <w:lang w:val="en-GB"/>
        </w:rPr>
        <w:t>Step 7: The serving cell sends the cell-switch command to the UE. The cell-switch command includes the TA to use in the new cell.</w:t>
      </w:r>
    </w:p>
    <w:p w14:paraId="2CF68167" w14:textId="55411FC3" w:rsidR="00511561" w:rsidRDefault="00511561" w:rsidP="00511561">
      <w:pPr>
        <w:rPr>
          <w:lang w:val="en-GB"/>
        </w:rPr>
      </w:pPr>
      <w:r>
        <w:rPr>
          <w:lang w:val="en-GB"/>
        </w:rPr>
        <w:t>LTM shall work for intra-DU and inter-DU. The internal RAN architecture was developed to allow the DUs to operate independently</w:t>
      </w:r>
      <w:r w:rsidR="00125798">
        <w:rPr>
          <w:lang w:val="en-GB"/>
        </w:rPr>
        <w:t xml:space="preserve">, and one </w:t>
      </w:r>
      <w:r>
        <w:rPr>
          <w:lang w:val="en-GB"/>
        </w:rPr>
        <w:t xml:space="preserve">DU knows the configuration of its own cells, but not the configuration of cells controlled by other DUs. During a legacy handover between two cells, the handover command (including the configuration of the target) is prepared by the target cell, and transmitted to the UE by the source cell, without the source cell being aware of the configuration. This effect of the RAN architecture must be </w:t>
      </w:r>
      <w:r w:rsidR="00125798">
        <w:rPr>
          <w:lang w:val="en-GB"/>
        </w:rPr>
        <w:t>considered</w:t>
      </w:r>
      <w:r>
        <w:rPr>
          <w:lang w:val="en-GB"/>
        </w:rPr>
        <w:t xml:space="preserve"> also during the RAN1 work</w:t>
      </w:r>
      <w:r w:rsidR="00125798">
        <w:rPr>
          <w:lang w:val="en-GB"/>
        </w:rPr>
        <w:t xml:space="preserve"> for LTM</w:t>
      </w:r>
      <w:r>
        <w:rPr>
          <w:lang w:val="en-GB"/>
        </w:rPr>
        <w:t xml:space="preserve">. This was highlighted in the two reply LSs </w:t>
      </w:r>
      <w:r>
        <w:rPr>
          <w:lang w:val="en-GB"/>
        </w:rPr>
        <w:fldChar w:fldCharType="begin"/>
      </w:r>
      <w:r>
        <w:rPr>
          <w:lang w:val="en-GB"/>
        </w:rPr>
        <w:instrText xml:space="preserve"> REF _Ref126243726 \r \h </w:instrText>
      </w:r>
      <w:r>
        <w:rPr>
          <w:lang w:val="en-GB"/>
        </w:rPr>
      </w:r>
      <w:r>
        <w:rPr>
          <w:lang w:val="en-GB"/>
        </w:rPr>
        <w:fldChar w:fldCharType="separate"/>
      </w:r>
      <w:r w:rsidR="00837713">
        <w:rPr>
          <w:lang w:val="en-GB"/>
        </w:rPr>
        <w:t>[8]</w:t>
      </w:r>
      <w:r>
        <w:rPr>
          <w:lang w:val="en-GB"/>
        </w:rPr>
        <w:fldChar w:fldCharType="end"/>
      </w:r>
      <w:r>
        <w:rPr>
          <w:lang w:val="en-GB"/>
        </w:rPr>
        <w:t xml:space="preserve"> and </w:t>
      </w:r>
      <w:r>
        <w:rPr>
          <w:lang w:val="en-GB"/>
        </w:rPr>
        <w:fldChar w:fldCharType="begin"/>
      </w:r>
      <w:r>
        <w:rPr>
          <w:lang w:val="en-GB"/>
        </w:rPr>
        <w:instrText xml:space="preserve"> REF _Ref126243756 \r \h </w:instrText>
      </w:r>
      <w:r>
        <w:rPr>
          <w:lang w:val="en-GB"/>
        </w:rPr>
      </w:r>
      <w:r>
        <w:rPr>
          <w:lang w:val="en-GB"/>
        </w:rPr>
        <w:fldChar w:fldCharType="separate"/>
      </w:r>
      <w:r w:rsidR="00837713">
        <w:rPr>
          <w:lang w:val="en-GB"/>
        </w:rPr>
        <w:t>[9]</w:t>
      </w:r>
      <w:r>
        <w:rPr>
          <w:lang w:val="en-GB"/>
        </w:rPr>
        <w:fldChar w:fldCharType="end"/>
      </w:r>
      <w:r>
        <w:rPr>
          <w:lang w:val="en-GB"/>
        </w:rPr>
        <w:t xml:space="preserve">, by RAN2 and RAN3 respectively. In their response, RAN3 states that </w:t>
      </w:r>
    </w:p>
    <w:p w14:paraId="359DA8D5" w14:textId="77777777" w:rsidR="00511561" w:rsidRDefault="00511561" w:rsidP="00511561">
      <w:pPr>
        <w:rPr>
          <w:lang w:val="en-GB"/>
        </w:rPr>
      </w:pPr>
      <w:r w:rsidRPr="005751C9">
        <w:rPr>
          <w:noProof/>
          <w:lang w:val="en-GB"/>
        </w:rPr>
        <mc:AlternateContent>
          <mc:Choice Requires="wps">
            <w:drawing>
              <wp:inline distT="0" distB="0" distL="0" distR="0" wp14:anchorId="7C62BFE1" wp14:editId="73680608">
                <wp:extent cx="6120765" cy="345716"/>
                <wp:effectExtent l="0" t="0" r="13335" b="24130"/>
                <wp:docPr id="24" name="Text Box 2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62BFE1" id="_x0000_t202" coordsize="21600,21600" o:spt="202" path="m,l,21600r21600,l21600,xe">
                <v:stroke joinstyle="miter"/>
                <v:path gradientshapeok="t" o:connecttype="rect"/>
              </v:shapetype>
              <v:shape id="Text Box 24"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007DB698" w14:textId="77777777" w:rsidR="00511561" w:rsidRDefault="00511561" w:rsidP="00511561">
                      <w:pPr>
                        <w:rPr>
                          <w:rFonts w:cs="Arial"/>
                          <w:lang w:eastAsia="zh-CN"/>
                        </w:rPr>
                      </w:pPr>
                      <w:r>
                        <w:rPr>
                          <w:rFonts w:cs="Arial" w:hint="eastAsia"/>
                          <w:lang w:eastAsia="zh-CN"/>
                        </w:rPr>
                        <w:t>Regarding Q3 about L1 measurement and TCI state configurations in the LS, RAN3 agreed that based on the current specification, the serving DU cannot know the measurement RS configuration and TCI state configuration of cells served by another DU.</w:t>
                      </w:r>
                    </w:p>
                    <w:p w14:paraId="71D28DFA" w14:textId="77777777" w:rsidR="00511561" w:rsidRPr="0048178B" w:rsidRDefault="00511561" w:rsidP="00511561">
                      <w:pPr>
                        <w:rPr>
                          <w:rFonts w:cs="Arial"/>
                          <w:lang w:eastAsia="zh-CN"/>
                        </w:rPr>
                      </w:pPr>
                      <w:r>
                        <w:rPr>
                          <w:rFonts w:cs="Arial"/>
                          <w:lang w:eastAsia="zh-CN"/>
                        </w:rPr>
                        <w:t>Any possible consideration for Rel-18 on the coordination over F1 among serving DU, target DU, and CU would need clearly identified requirements from other groups.</w:t>
                      </w:r>
                    </w:p>
                  </w:txbxContent>
                </v:textbox>
                <w10:anchorlock/>
              </v:shape>
            </w:pict>
          </mc:Fallback>
        </mc:AlternateContent>
      </w:r>
    </w:p>
    <w:p w14:paraId="6F36F64E" w14:textId="77777777" w:rsidR="00511561" w:rsidRDefault="00511561" w:rsidP="00511561">
      <w:pPr>
        <w:rPr>
          <w:lang w:val="en-GB"/>
        </w:rPr>
      </w:pPr>
      <w:r>
        <w:rPr>
          <w:lang w:val="en-GB"/>
        </w:rPr>
        <w:t>In their response, RAN2 states that</w:t>
      </w:r>
    </w:p>
    <w:p w14:paraId="2A940433" w14:textId="77777777" w:rsidR="00511561" w:rsidRDefault="00511561" w:rsidP="00511561">
      <w:pPr>
        <w:rPr>
          <w:lang w:val="en-GB"/>
        </w:rPr>
      </w:pPr>
      <w:r w:rsidRPr="0048178B">
        <w:rPr>
          <w:noProof/>
          <w:lang w:val="en-GB"/>
        </w:rPr>
        <w:lastRenderedPageBreak/>
        <mc:AlternateContent>
          <mc:Choice Requires="wps">
            <w:drawing>
              <wp:inline distT="0" distB="0" distL="0" distR="0" wp14:anchorId="0B71E7BB" wp14:editId="2BD3A430">
                <wp:extent cx="6120765" cy="345716"/>
                <wp:effectExtent l="0" t="0" r="13335" b="24130"/>
                <wp:docPr id="25" name="Text Box 2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71E7BB" id="Text Box 25"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58988BC5" w14:textId="77777777" w:rsidR="00511561" w:rsidRPr="00012644" w:rsidRDefault="00511561" w:rsidP="00511561">
                      <w:pPr>
                        <w:jc w:val="both"/>
                        <w:rPr>
                          <w:rFonts w:cs="Arial"/>
                        </w:rPr>
                      </w:pPr>
                      <w:r w:rsidRPr="0066437A">
                        <w:rPr>
                          <w:rFonts w:cs="Arial"/>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r w:rsidRPr="0066437A">
                        <w:rPr>
                          <w:rFonts w:eastAsia="SimSun" w:cs="Arial"/>
                          <w:lang w:eastAsia="zh-CN"/>
                        </w:rPr>
                        <w:t>management</w:t>
                      </w:r>
                      <w:r w:rsidRPr="0066437A">
                        <w:rPr>
                          <w:rFonts w:cs="Arial"/>
                        </w:rPr>
                        <w:t xml:space="preserve"> (to the extent it is supported) may be made by the source cell. RAN2 understands that this may require cooperation among source DU, CU, target DU, and/or OAM. RAN2 don’t see any blocking issue to share information between DUs but the support of this is in RAN3 domain. RAN2 see no necessity for a direct inter-DU-interface to support this. </w:t>
                      </w:r>
                    </w:p>
                  </w:txbxContent>
                </v:textbox>
                <w10:anchorlock/>
              </v:shape>
            </w:pict>
          </mc:Fallback>
        </mc:AlternateContent>
      </w:r>
    </w:p>
    <w:p w14:paraId="1A1CFE2B" w14:textId="65B1AB86" w:rsidR="00125798" w:rsidRDefault="00425494" w:rsidP="006A3C39">
      <w:pPr>
        <w:rPr>
          <w:lang w:val="en-GB" w:eastAsia="ja-JP"/>
        </w:rPr>
      </w:pPr>
      <w:r>
        <w:rPr>
          <w:lang w:val="en-GB" w:eastAsia="ja-JP"/>
        </w:rPr>
        <w:t xml:space="preserve">RAN3 specifies the intra-RAN </w:t>
      </w:r>
      <w:r w:rsidR="00FE280D">
        <w:rPr>
          <w:lang w:val="en-GB" w:eastAsia="ja-JP"/>
        </w:rPr>
        <w:t>signalling</w:t>
      </w:r>
      <w:r>
        <w:rPr>
          <w:lang w:val="en-GB" w:eastAsia="ja-JP"/>
        </w:rPr>
        <w:t xml:space="preserve">, which ensures that the correct information is available at the correct </w:t>
      </w:r>
      <w:r w:rsidR="00C92409">
        <w:rPr>
          <w:lang w:val="en-GB" w:eastAsia="ja-JP"/>
        </w:rPr>
        <w:t xml:space="preserve">RAN </w:t>
      </w:r>
      <w:r>
        <w:rPr>
          <w:lang w:val="en-GB" w:eastAsia="ja-JP"/>
        </w:rPr>
        <w:t>node at the correct point in time</w:t>
      </w:r>
      <w:r w:rsidR="00C92409">
        <w:rPr>
          <w:lang w:val="en-GB" w:eastAsia="ja-JP"/>
        </w:rPr>
        <w:t xml:space="preserve">. </w:t>
      </w:r>
      <w:r w:rsidR="00FE280D">
        <w:rPr>
          <w:lang w:val="en-GB" w:eastAsia="ja-JP"/>
        </w:rPr>
        <w:t>Note that additional signalling is required to ensure that information that is available at the UE is also available at the DU</w:t>
      </w:r>
      <w:r w:rsidR="006E6C9E">
        <w:rPr>
          <w:lang w:val="en-GB" w:eastAsia="ja-JP"/>
        </w:rPr>
        <w:t>: it is not necessarily so that all the information that is available at the UE is available also at the serving DU:</w:t>
      </w:r>
      <w:r>
        <w:rPr>
          <w:lang w:val="en-GB" w:eastAsia="ja-JP"/>
        </w:rPr>
        <w:t xml:space="preserve"> </w:t>
      </w:r>
    </w:p>
    <w:p w14:paraId="78DCD5D7" w14:textId="0EFD609F" w:rsidR="0033134A" w:rsidRPr="007278D0" w:rsidRDefault="007278D0" w:rsidP="007278D0">
      <w:pPr>
        <w:pStyle w:val="Observation"/>
        <w:rPr>
          <w:lang w:val="en-GB"/>
        </w:rPr>
      </w:pPr>
      <w:bookmarkStart w:id="3" w:name="_Toc131756567"/>
      <w:r>
        <w:rPr>
          <w:lang w:val="en-GB"/>
        </w:rPr>
        <w:t>RAN1 should not assume that any information that is available at the UE is also available in the serving DU.</w:t>
      </w:r>
      <w:bookmarkEnd w:id="3"/>
    </w:p>
    <w:p w14:paraId="78C2E348" w14:textId="77777777" w:rsidR="006A3C39" w:rsidRDefault="006A3C39" w:rsidP="006A3C39">
      <w:pPr>
        <w:pStyle w:val="Heading2"/>
      </w:pPr>
      <w:r>
        <w:t>2.1</w:t>
      </w:r>
      <w:r>
        <w:tab/>
        <w:t>Beam indication</w:t>
      </w:r>
    </w:p>
    <w:p w14:paraId="03A174F7" w14:textId="0E56CEC9" w:rsidR="0036013C" w:rsidRDefault="00923EC6" w:rsidP="006A3C39">
      <w:pPr>
        <w:rPr>
          <w:lang w:val="en-GB" w:eastAsia="ja-JP"/>
        </w:rPr>
      </w:pPr>
      <w:r>
        <w:rPr>
          <w:lang w:val="en-GB" w:eastAsia="ja-JP"/>
        </w:rPr>
        <w:t xml:space="preserve">The term “beam indication” is used in beam management and represents the signaling where the UE obtains a new QCL indication for reception of DL signals, most notably the PDCCH/PDSCH. In the context of LTM, once the new QCL indication takes effect, i.e., after the beam application time, the UE </w:t>
      </w:r>
      <w:r w:rsidR="002C3343">
        <w:rPr>
          <w:lang w:val="en-GB" w:eastAsia="ja-JP"/>
        </w:rPr>
        <w:t>can</w:t>
      </w:r>
      <w:r>
        <w:rPr>
          <w:lang w:val="en-GB" w:eastAsia="ja-JP"/>
        </w:rPr>
        <w:t xml:space="preserve"> receive the DL from the new TRP. </w:t>
      </w:r>
    </w:p>
    <w:p w14:paraId="0CA84FF3" w14:textId="2DDC9EA0" w:rsidR="00C820A2" w:rsidRDefault="00FC063B" w:rsidP="006A3C39">
      <w:pPr>
        <w:rPr>
          <w:lang w:val="en-GB" w:eastAsia="ja-JP"/>
        </w:rPr>
      </w:pPr>
      <w:r>
        <w:rPr>
          <w:lang w:val="en-GB" w:eastAsia="ja-JP"/>
        </w:rPr>
        <w:t>In RAN1</w:t>
      </w:r>
      <w:r w:rsidR="00C820A2">
        <w:rPr>
          <w:lang w:val="en-GB" w:eastAsia="ja-JP"/>
        </w:rPr>
        <w:t>#110bis-e</w:t>
      </w:r>
      <w:r w:rsidR="00A00C46">
        <w:rPr>
          <w:lang w:val="en-GB" w:eastAsia="ja-JP"/>
        </w:rPr>
        <w:t xml:space="preserve"> and RAN1#111</w:t>
      </w:r>
      <w:r w:rsidR="00C820A2">
        <w:rPr>
          <w:lang w:val="en-GB" w:eastAsia="ja-JP"/>
        </w:rPr>
        <w:t>, the following agreement</w:t>
      </w:r>
      <w:r w:rsidR="0048552E">
        <w:rPr>
          <w:lang w:val="en-GB" w:eastAsia="ja-JP"/>
        </w:rPr>
        <w:t>s</w:t>
      </w:r>
      <w:r w:rsidR="00C820A2">
        <w:rPr>
          <w:lang w:val="en-GB" w:eastAsia="ja-JP"/>
        </w:rPr>
        <w:t xml:space="preserve"> w</w:t>
      </w:r>
      <w:r w:rsidR="0048552E">
        <w:rPr>
          <w:lang w:val="en-GB" w:eastAsia="ja-JP"/>
        </w:rPr>
        <w:t>ere</w:t>
      </w:r>
      <w:r w:rsidR="00C820A2">
        <w:rPr>
          <w:lang w:val="en-GB" w:eastAsia="ja-JP"/>
        </w:rPr>
        <w:t xml:space="preserve"> reached:</w:t>
      </w:r>
    </w:p>
    <w:p w14:paraId="78A3F2ED" w14:textId="699516D5" w:rsidR="00C820A2" w:rsidRDefault="00C820A2" w:rsidP="006A3C39">
      <w:pPr>
        <w:rPr>
          <w:lang w:val="en-GB" w:eastAsia="ja-JP"/>
        </w:rPr>
      </w:pPr>
      <w:r w:rsidRPr="00C820A2">
        <w:rPr>
          <w:noProof/>
          <w:lang w:val="en-GB" w:eastAsia="ja-JP"/>
        </w:rPr>
        <mc:AlternateContent>
          <mc:Choice Requires="wps">
            <w:drawing>
              <wp:inline distT="0" distB="0" distL="0" distR="0" wp14:anchorId="645235CB" wp14:editId="5CEA3C61">
                <wp:extent cx="6120765" cy="639758"/>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0DDC608" w14:textId="7B34D2B2" w:rsidR="00C820A2" w:rsidRPr="0048552E" w:rsidRDefault="00C820A2" w:rsidP="001E2888">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1E2888">
                            <w:pPr>
                              <w:pStyle w:val="ListParagraph"/>
                              <w:numPr>
                                <w:ilvl w:val="0"/>
                                <w:numId w:val="38"/>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1E2888">
                            <w:pPr>
                              <w:shd w:val="clear" w:color="auto" w:fill="FFFFFF"/>
                              <w:snapToGrid w:val="0"/>
                              <w:spacing w:after="0" w:line="240" w:lineRule="auto"/>
                              <w:jc w:val="both"/>
                              <w:rPr>
                                <w:rFonts w:ascii="Times" w:eastAsia="Microsoft YaHei UI" w:hAnsi="Times" w:cs="Times"/>
                                <w:szCs w:val="20"/>
                              </w:rPr>
                            </w:pPr>
                          </w:p>
                          <w:p w14:paraId="1904A04B" w14:textId="4A045C21" w:rsidR="00914DD1" w:rsidRPr="00386A91" w:rsidRDefault="00914DD1" w:rsidP="001E2888">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(RAN1#110bis-e)</w:t>
                            </w:r>
                          </w:p>
                          <w:p w14:paraId="61861D4F" w14:textId="77777777" w:rsidR="00914DD1" w:rsidRPr="00386A91" w:rsidRDefault="00914DD1" w:rsidP="001E2888">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1E2888">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1E2888">
                            <w:pPr>
                              <w:pStyle w:val="ListParagraph"/>
                              <w:numPr>
                                <w:ilvl w:val="3"/>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1E2888">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1E2888">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5235CB" id="Text Box 6"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20DDC608" w14:textId="7B34D2B2" w:rsidR="00C820A2" w:rsidRPr="0048552E" w:rsidRDefault="00C820A2" w:rsidP="001E2888">
                      <w:pPr>
                        <w:pStyle w:val="ListParagraph"/>
                        <w:shd w:val="clear" w:color="auto" w:fill="FFFFFF"/>
                        <w:ind w:left="0"/>
                        <w:jc w:val="both"/>
                        <w:rPr>
                          <w:rFonts w:ascii="Times" w:eastAsia="Microsoft YaHei UI" w:hAnsi="Times" w:cs="Times"/>
                          <w:color w:val="000000"/>
                          <w:sz w:val="20"/>
                          <w:szCs w:val="20"/>
                          <w:highlight w:val="green"/>
                          <w:lang w:val="en-US"/>
                        </w:rPr>
                      </w:pPr>
                      <w:r w:rsidRPr="00320151">
                        <w:rPr>
                          <w:rFonts w:ascii="Times" w:eastAsia="Microsoft YaHei UI" w:hAnsi="Times" w:cs="Times"/>
                          <w:color w:val="000000"/>
                          <w:sz w:val="20"/>
                          <w:szCs w:val="20"/>
                          <w:highlight w:val="green"/>
                        </w:rPr>
                        <w:t>Agreement</w:t>
                      </w:r>
                      <w:r w:rsidR="0048552E">
                        <w:rPr>
                          <w:rFonts w:ascii="Times" w:eastAsia="Microsoft YaHei UI" w:hAnsi="Times" w:cs="Times"/>
                          <w:color w:val="000000"/>
                          <w:sz w:val="20"/>
                          <w:szCs w:val="20"/>
                          <w:highlight w:val="green"/>
                          <w:lang w:val="en-US"/>
                        </w:rPr>
                        <w:t xml:space="preserve"> </w:t>
                      </w:r>
                      <w:r w:rsidR="0048552E" w:rsidRPr="0048552E">
                        <w:rPr>
                          <w:rFonts w:ascii="Times" w:eastAsia="Microsoft YaHei UI" w:hAnsi="Times" w:cs="Times"/>
                          <w:color w:val="000000"/>
                          <w:sz w:val="20"/>
                          <w:szCs w:val="20"/>
                          <w:lang w:val="en-US"/>
                        </w:rPr>
                        <w:t>(RAN1#110bis-e)</w:t>
                      </w:r>
                    </w:p>
                    <w:p w14:paraId="7702E89C" w14:textId="77777777" w:rsidR="00C820A2" w:rsidRPr="00FB2B80" w:rsidRDefault="00C820A2" w:rsidP="001E2888">
                      <w:pPr>
                        <w:pStyle w:val="ListParagraph"/>
                        <w:numPr>
                          <w:ilvl w:val="0"/>
                          <w:numId w:val="38"/>
                        </w:numPr>
                        <w:shd w:val="clear" w:color="auto" w:fill="FFFFFF"/>
                        <w:snapToGrid w:val="0"/>
                        <w:spacing w:line="240" w:lineRule="auto"/>
                        <w:jc w:val="both"/>
                        <w:rPr>
                          <w:rFonts w:ascii="Times" w:eastAsia="Microsoft YaHei UI" w:hAnsi="Times" w:cs="Times"/>
                          <w:sz w:val="20"/>
                          <w:szCs w:val="20"/>
                        </w:rPr>
                      </w:pPr>
                      <w:r w:rsidRPr="00320151">
                        <w:rPr>
                          <w:rFonts w:ascii="Times" w:eastAsia="Microsoft YaHei UI" w:hAnsi="Times" w:cs="Times"/>
                          <w:color w:val="000000"/>
                          <w:sz w:val="20"/>
                          <w:szCs w:val="20"/>
                        </w:rPr>
                        <w:t>F</w:t>
                      </w:r>
                      <w:r w:rsidRPr="00FB2B80">
                        <w:rPr>
                          <w:rFonts w:ascii="Times" w:eastAsia="Microsoft YaHei UI" w:hAnsi="Times" w:cs="Times"/>
                          <w:sz w:val="20"/>
                          <w:szCs w:val="20"/>
                        </w:rPr>
                        <w:t>rom RAN1 perspective, the following scenarios can be considered for Rel-18 L1/L2 mobility for beam indication timing. This will be updated depending on further RAN1 assessment and RAN2 decision on the time chart</w:t>
                      </w:r>
                    </w:p>
                    <w:p w14:paraId="45A2A25B"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1: Beam indication before cell switch command</w:t>
                      </w:r>
                    </w:p>
                    <w:p w14:paraId="0B3B564D" w14:textId="77777777" w:rsidR="00C820A2" w:rsidRPr="00FB2B80"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2: Beam indication together with cell switch command</w:t>
                      </w:r>
                    </w:p>
                    <w:p w14:paraId="5EDF03E5" w14:textId="1FB11E98" w:rsidR="00C820A2" w:rsidRDefault="00C820A2" w:rsidP="001E2888">
                      <w:pPr>
                        <w:pStyle w:val="ListParagraph"/>
                        <w:numPr>
                          <w:ilvl w:val="1"/>
                          <w:numId w:val="38"/>
                        </w:numPr>
                        <w:shd w:val="clear" w:color="auto" w:fill="FFFFFF"/>
                        <w:snapToGrid w:val="0"/>
                        <w:spacing w:line="240" w:lineRule="auto"/>
                        <w:jc w:val="both"/>
                        <w:rPr>
                          <w:rFonts w:ascii="Times" w:eastAsia="Microsoft YaHei UI" w:hAnsi="Times" w:cs="Times"/>
                          <w:sz w:val="20"/>
                          <w:szCs w:val="20"/>
                        </w:rPr>
                      </w:pPr>
                      <w:r w:rsidRPr="00FB2B80">
                        <w:rPr>
                          <w:rFonts w:ascii="Times" w:eastAsia="Microsoft YaHei UI" w:hAnsi="Times" w:cs="Times"/>
                          <w:sz w:val="20"/>
                          <w:szCs w:val="20"/>
                        </w:rPr>
                        <w:t>Scenario 3: Beam indication after cell switch command</w:t>
                      </w:r>
                    </w:p>
                    <w:p w14:paraId="7249BFF4" w14:textId="77777777" w:rsidR="0048552E" w:rsidRDefault="0048552E" w:rsidP="001E2888">
                      <w:pPr>
                        <w:shd w:val="clear" w:color="auto" w:fill="FFFFFF"/>
                        <w:snapToGrid w:val="0"/>
                        <w:spacing w:after="0" w:line="240" w:lineRule="auto"/>
                        <w:jc w:val="both"/>
                        <w:rPr>
                          <w:rFonts w:ascii="Times" w:eastAsia="Microsoft YaHei UI" w:hAnsi="Times" w:cs="Times"/>
                          <w:szCs w:val="20"/>
                        </w:rPr>
                      </w:pPr>
                    </w:p>
                    <w:p w14:paraId="1904A04B" w14:textId="4A045C21" w:rsidR="00914DD1" w:rsidRPr="00386A91" w:rsidRDefault="00914DD1" w:rsidP="001E2888">
                      <w:pPr>
                        <w:spacing w:after="0"/>
                        <w:rPr>
                          <w:rFonts w:ascii="Times" w:hAnsi="Times" w:cs="Times"/>
                          <w:szCs w:val="20"/>
                          <w:highlight w:val="green"/>
                          <w:lang w:eastAsia="ja-JP"/>
                        </w:rPr>
                      </w:pPr>
                      <w:r w:rsidRPr="00386A91">
                        <w:rPr>
                          <w:rFonts w:ascii="Times" w:eastAsia="Yu Mincho" w:hAnsi="Times" w:cs="Times"/>
                          <w:szCs w:val="20"/>
                          <w:highlight w:val="green"/>
                          <w:lang w:eastAsia="ja-JP"/>
                        </w:rPr>
                        <w:t>Agreement</w:t>
                      </w:r>
                      <w:r>
                        <w:rPr>
                          <w:rFonts w:ascii="Times" w:eastAsia="Yu Mincho" w:hAnsi="Times" w:cs="Times"/>
                          <w:szCs w:val="20"/>
                          <w:lang w:eastAsia="ja-JP"/>
                        </w:rPr>
                        <w:t xml:space="preserve"> </w:t>
                      </w:r>
                      <w:r w:rsidRPr="00914DD1">
                        <w:rPr>
                          <w:rFonts w:ascii="Times" w:eastAsia="Yu Mincho" w:hAnsi="Times" w:cs="Times"/>
                          <w:szCs w:val="20"/>
                          <w:lang w:eastAsia="ja-JP"/>
                        </w:rPr>
                        <w:t>(RAN1#110bis-e)</w:t>
                      </w:r>
                    </w:p>
                    <w:p w14:paraId="61861D4F" w14:textId="77777777" w:rsidR="00914DD1" w:rsidRPr="00386A91" w:rsidRDefault="00914DD1" w:rsidP="001E2888">
                      <w:pPr>
                        <w:numPr>
                          <w:ilvl w:val="0"/>
                          <w:numId w:val="38"/>
                        </w:numPr>
                        <w:spacing w:after="0" w:line="240" w:lineRule="auto"/>
                        <w:rPr>
                          <w:rFonts w:ascii="Times" w:eastAsia="MS PGothic" w:hAnsi="Times" w:cs="Times"/>
                          <w:szCs w:val="20"/>
                        </w:rPr>
                      </w:pPr>
                      <w:r w:rsidRPr="00386A91">
                        <w:rPr>
                          <w:rFonts w:ascii="Times" w:hAnsi="Times" w:cs="Times"/>
                          <w:szCs w:val="20"/>
                        </w:rPr>
                        <w:t xml:space="preserve">For beam indication timing for Rel-18 LTM, </w:t>
                      </w:r>
                    </w:p>
                    <w:p w14:paraId="711F4526" w14:textId="77777777" w:rsidR="00914DD1" w:rsidRPr="005C049D"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Support Scenario 2: Beam indication together with cell switch command, </w:t>
                      </w:r>
                    </w:p>
                    <w:p w14:paraId="57ACC0C2" w14:textId="77777777" w:rsidR="00914DD1" w:rsidRPr="005C049D" w:rsidRDefault="00914DD1" w:rsidP="001E2888">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For Rel-17 unified TCI framework, </w:t>
                      </w:r>
                    </w:p>
                    <w:p w14:paraId="196BB95B" w14:textId="77777777" w:rsidR="00914DD1" w:rsidRPr="005C049D" w:rsidRDefault="00914DD1" w:rsidP="001E2888">
                      <w:pPr>
                        <w:pStyle w:val="ListParagraph"/>
                        <w:numPr>
                          <w:ilvl w:val="3"/>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Beam indication indicates TCI state for each target serving cell</w:t>
                      </w:r>
                    </w:p>
                    <w:p w14:paraId="54B29A98" w14:textId="77777777" w:rsidR="00914DD1" w:rsidRPr="00386A91" w:rsidRDefault="00914DD1" w:rsidP="001E2888">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Scenario 1: Beam indication before cell switch command</w:t>
                      </w:r>
                    </w:p>
                    <w:p w14:paraId="62E19E72" w14:textId="77777777" w:rsidR="00914DD1" w:rsidRPr="005C049D" w:rsidRDefault="00914DD1" w:rsidP="001E2888">
                      <w:pPr>
                        <w:pStyle w:val="ListParagraph"/>
                        <w:numPr>
                          <w:ilvl w:val="1"/>
                          <w:numId w:val="41"/>
                        </w:numPr>
                        <w:snapToGrid w:val="0"/>
                        <w:spacing w:line="240" w:lineRule="auto"/>
                        <w:ind w:left="1077" w:hanging="357"/>
                        <w:jc w:val="both"/>
                        <w:rPr>
                          <w:rFonts w:ascii="Times" w:hAnsi="Times" w:cs="Times"/>
                          <w:sz w:val="20"/>
                          <w:szCs w:val="20"/>
                          <w:lang w:eastAsia="x-none"/>
                        </w:rPr>
                      </w:pPr>
                      <w:r w:rsidRPr="00386A91">
                        <w:rPr>
                          <w:rFonts w:ascii="Times" w:hAnsi="Times" w:cs="Times"/>
                          <w:sz w:val="20"/>
                          <w:szCs w:val="20"/>
                          <w:lang w:eastAsia="x-none"/>
                        </w:rPr>
                        <w:t>FFS: Scenario 3: Beam indication after cell switch command</w:t>
                      </w:r>
                    </w:p>
                    <w:p w14:paraId="6E9303C5" w14:textId="04377493" w:rsidR="00914DD1" w:rsidRPr="00914DD1" w:rsidRDefault="00914DD1" w:rsidP="001E2888">
                      <w:pPr>
                        <w:numPr>
                          <w:ilvl w:val="0"/>
                          <w:numId w:val="38"/>
                        </w:numPr>
                        <w:spacing w:after="0" w:line="240" w:lineRule="auto"/>
                        <w:rPr>
                          <w:rFonts w:ascii="Times" w:hAnsi="Times" w:cs="Times"/>
                          <w:szCs w:val="20"/>
                        </w:rPr>
                      </w:pPr>
                      <w:r w:rsidRPr="00386A91">
                        <w:rPr>
                          <w:rFonts w:ascii="Times" w:hAnsi="Times" w:cs="Times"/>
                          <w:szCs w:val="20"/>
                        </w:rPr>
                        <w:t xml:space="preserve">FFS: Activation of TCI state(s) of target serving and/or candidate cell(s). </w:t>
                      </w:r>
                    </w:p>
                  </w:txbxContent>
                </v:textbox>
                <w10:anchorlock/>
              </v:shape>
            </w:pict>
          </mc:Fallback>
        </mc:AlternateContent>
      </w:r>
    </w:p>
    <w:p w14:paraId="4036DB2A" w14:textId="6DA2B2D7" w:rsidR="00BA10E6" w:rsidRDefault="00F64CE2" w:rsidP="006A3C39">
      <w:pPr>
        <w:rPr>
          <w:lang w:val="en-GB" w:eastAsia="ja-JP"/>
        </w:rPr>
      </w:pPr>
      <w:r>
        <w:rPr>
          <w:lang w:val="en-GB" w:eastAsia="ja-JP"/>
        </w:rPr>
        <w:t xml:space="preserve">Scenario 1 would imply that the UE uses the configuration of the source cell for the initial communication with the target cell. This means that the target cell must support the configuration of the source cell, which is true in many cases, and is also the foundation of ICBM. </w:t>
      </w:r>
      <w:r w:rsidR="00DF681E">
        <w:rPr>
          <w:lang w:val="en-GB" w:eastAsia="ja-JP"/>
        </w:rPr>
        <w:t xml:space="preserve">Since the beam indication can be transmitted earlier, the </w:t>
      </w:r>
      <w:r w:rsidR="007B3768">
        <w:rPr>
          <w:lang w:val="en-GB" w:eastAsia="ja-JP"/>
        </w:rPr>
        <w:t>network</w:t>
      </w:r>
      <w:r w:rsidR="00DF681E">
        <w:rPr>
          <w:lang w:val="en-GB" w:eastAsia="ja-JP"/>
        </w:rPr>
        <w:t xml:space="preserve"> could delay the cell-switch command when measurement reports validate that the UE is under the coverage of the target cell.</w:t>
      </w:r>
      <w:r w:rsidR="00E0181B">
        <w:rPr>
          <w:lang w:val="en-GB" w:eastAsia="ja-JP"/>
        </w:rPr>
        <w:t xml:space="preserve"> Therefore, we propose</w:t>
      </w:r>
    </w:p>
    <w:p w14:paraId="23817A72" w14:textId="61DA9525" w:rsidR="00923EC6" w:rsidRDefault="00923EC6" w:rsidP="00923EC6">
      <w:pPr>
        <w:pStyle w:val="Proposal"/>
        <w:rPr>
          <w:lang w:val="en-GB"/>
        </w:rPr>
      </w:pPr>
      <w:bookmarkStart w:id="4" w:name="_Ref118190939"/>
      <w:bookmarkStart w:id="5" w:name="_Toc131756574"/>
      <w:r>
        <w:rPr>
          <w:lang w:val="en-GB"/>
        </w:rPr>
        <w:t xml:space="preserve">Support </w:t>
      </w:r>
      <w:r w:rsidR="00E0181B">
        <w:rPr>
          <w:lang w:val="en-GB"/>
        </w:rPr>
        <w:t xml:space="preserve">also </w:t>
      </w:r>
      <w:r>
        <w:rPr>
          <w:lang w:val="en-GB"/>
        </w:rPr>
        <w:t xml:space="preserve">scenario </w:t>
      </w:r>
      <w:r w:rsidR="004A4096">
        <w:rPr>
          <w:lang w:val="en-GB"/>
        </w:rPr>
        <w:t>1</w:t>
      </w:r>
      <w:r w:rsidR="00E0181B">
        <w:rPr>
          <w:lang w:val="en-GB"/>
        </w:rPr>
        <w:t xml:space="preserve"> with LTM</w:t>
      </w:r>
      <w:r w:rsidR="00F64CE2">
        <w:rPr>
          <w:lang w:val="en-GB"/>
        </w:rPr>
        <w:t xml:space="preserve">: the beam indication is transmitted </w:t>
      </w:r>
      <w:r w:rsidR="004A4096">
        <w:rPr>
          <w:lang w:val="en-GB"/>
        </w:rPr>
        <w:t xml:space="preserve">before </w:t>
      </w:r>
      <w:r w:rsidR="00F64CE2">
        <w:rPr>
          <w:lang w:val="en-GB"/>
        </w:rPr>
        <w:t>the cell switch command</w:t>
      </w:r>
      <w:r>
        <w:rPr>
          <w:lang w:val="en-GB"/>
        </w:rPr>
        <w:t>.</w:t>
      </w:r>
      <w:bookmarkEnd w:id="4"/>
      <w:bookmarkEnd w:id="5"/>
    </w:p>
    <w:p w14:paraId="6F332D72" w14:textId="32BE2C34" w:rsidR="005A3531" w:rsidRDefault="005A3531" w:rsidP="001E677E">
      <w:pPr>
        <w:rPr>
          <w:lang w:val="en-GB" w:eastAsia="ja-JP"/>
        </w:rPr>
      </w:pPr>
      <w:r>
        <w:rPr>
          <w:lang w:val="en-GB" w:eastAsia="ja-JP"/>
        </w:rPr>
        <w:t>Our interpretation of scenario 1 is</w:t>
      </w:r>
      <w:r w:rsidR="00C64F09">
        <w:rPr>
          <w:lang w:val="en-GB" w:eastAsia="ja-JP"/>
        </w:rPr>
        <w:t xml:space="preserve"> </w:t>
      </w:r>
      <w:r w:rsidR="00656EB3">
        <w:rPr>
          <w:lang w:val="en-GB" w:eastAsia="ja-JP"/>
        </w:rPr>
        <w:t xml:space="preserve">that the UE may not </w:t>
      </w:r>
      <w:r w:rsidR="000D65D8">
        <w:rPr>
          <w:lang w:val="en-GB" w:eastAsia="ja-JP"/>
        </w:rPr>
        <w:t xml:space="preserve">automatically </w:t>
      </w:r>
      <w:r w:rsidR="00656EB3">
        <w:rPr>
          <w:lang w:val="en-GB" w:eastAsia="ja-JP"/>
        </w:rPr>
        <w:t>execute the cell switch at the reception of the LTM cell-switch command</w:t>
      </w:r>
      <w:r w:rsidR="000D65D8">
        <w:rPr>
          <w:lang w:val="en-GB" w:eastAsia="ja-JP"/>
        </w:rPr>
        <w:t>. The question then naturally arises: when will the UE execute the cell switch?</w:t>
      </w:r>
      <w:r w:rsidR="001615A1">
        <w:rPr>
          <w:lang w:val="en-GB" w:eastAsia="ja-JP"/>
        </w:rPr>
        <w:t xml:space="preserve"> As explained, it would be beneficial if the </w:t>
      </w:r>
      <w:r w:rsidR="007B3768">
        <w:rPr>
          <w:lang w:val="en-GB" w:eastAsia="ja-JP"/>
        </w:rPr>
        <w:t>network</w:t>
      </w:r>
      <w:r w:rsidR="00C659B3">
        <w:rPr>
          <w:lang w:val="en-GB" w:eastAsia="ja-JP"/>
        </w:rPr>
        <w:t xml:space="preserve"> could </w:t>
      </w:r>
      <w:r w:rsidR="004A3734">
        <w:rPr>
          <w:lang w:val="en-GB" w:eastAsia="ja-JP"/>
        </w:rPr>
        <w:t xml:space="preserve">choose to </w:t>
      </w:r>
      <w:r w:rsidR="00C659B3">
        <w:rPr>
          <w:lang w:val="en-GB" w:eastAsia="ja-JP"/>
        </w:rPr>
        <w:t xml:space="preserve">perform the cell switch </w:t>
      </w:r>
      <w:r w:rsidR="004A3734">
        <w:rPr>
          <w:lang w:val="en-GB" w:eastAsia="ja-JP"/>
        </w:rPr>
        <w:t xml:space="preserve">later, when </w:t>
      </w:r>
      <w:r w:rsidR="00C82D31">
        <w:rPr>
          <w:lang w:val="en-GB" w:eastAsia="ja-JP"/>
        </w:rPr>
        <w:t>it is likely that the UE would not switch back to the source cell</w:t>
      </w:r>
      <w:r w:rsidR="00B22D93">
        <w:rPr>
          <w:lang w:val="en-GB" w:eastAsia="ja-JP"/>
        </w:rPr>
        <w:t xml:space="preserve">. This would mean that we would also need to support </w:t>
      </w:r>
      <w:r w:rsidR="00B81198">
        <w:rPr>
          <w:lang w:val="en-GB" w:eastAsia="ja-JP"/>
        </w:rPr>
        <w:t xml:space="preserve">a variant of the LTM cell-switch command that triggers the cell switch, but leaves the </w:t>
      </w:r>
      <w:r w:rsidR="00B45CB8">
        <w:rPr>
          <w:lang w:val="en-GB" w:eastAsia="ja-JP"/>
        </w:rPr>
        <w:t>beam indication, i.e., the indicated TCI state, unaffected:</w:t>
      </w:r>
    </w:p>
    <w:p w14:paraId="12C8C2F4" w14:textId="69178F62" w:rsidR="00B45CB8" w:rsidRDefault="00B45CB8" w:rsidP="00B45CB8">
      <w:pPr>
        <w:pStyle w:val="Proposal"/>
        <w:rPr>
          <w:lang w:val="en-GB"/>
        </w:rPr>
      </w:pPr>
      <w:bookmarkStart w:id="6" w:name="_Ref126322596"/>
      <w:bookmarkStart w:id="7" w:name="_Toc131756575"/>
      <w:r>
        <w:rPr>
          <w:lang w:val="en-GB"/>
        </w:rPr>
        <w:lastRenderedPageBreak/>
        <w:t xml:space="preserve">Support </w:t>
      </w:r>
      <w:r w:rsidR="00640AFB">
        <w:rPr>
          <w:lang w:val="en-GB"/>
        </w:rPr>
        <w:t>that an LTM cell-switch command trigger</w:t>
      </w:r>
      <w:r w:rsidR="00AE6461">
        <w:rPr>
          <w:lang w:val="en-GB"/>
        </w:rPr>
        <w:t>s</w:t>
      </w:r>
      <w:r w:rsidR="00640AFB">
        <w:rPr>
          <w:lang w:val="en-GB"/>
        </w:rPr>
        <w:t xml:space="preserve"> a cell-switch</w:t>
      </w:r>
      <w:r w:rsidR="00AE6461">
        <w:rPr>
          <w:lang w:val="en-GB"/>
        </w:rPr>
        <w:t>, but not an update of the indicated TCI state</w:t>
      </w:r>
      <w:bookmarkEnd w:id="6"/>
      <w:bookmarkEnd w:id="7"/>
      <w:r w:rsidR="00640AFB">
        <w:rPr>
          <w:lang w:val="en-GB"/>
        </w:rPr>
        <w:t xml:space="preserve"> </w:t>
      </w:r>
    </w:p>
    <w:p w14:paraId="6B942207" w14:textId="573BE578" w:rsidR="0033134A" w:rsidRDefault="0033134A" w:rsidP="0033134A">
      <w:pPr>
        <w:rPr>
          <w:lang w:val="en-GB"/>
        </w:rPr>
      </w:pPr>
      <w:r>
        <w:rPr>
          <w:lang w:val="en-GB"/>
        </w:rPr>
        <w:t>In RAN1#11</w:t>
      </w:r>
      <w:r w:rsidR="009B3536">
        <w:rPr>
          <w:lang w:val="en-GB"/>
        </w:rPr>
        <w:t>1</w:t>
      </w:r>
      <w:r>
        <w:rPr>
          <w:lang w:val="en-GB"/>
        </w:rPr>
        <w:t>, RAN1 made the following agreement:</w:t>
      </w:r>
    </w:p>
    <w:p w14:paraId="2CEA5A89" w14:textId="77777777" w:rsidR="0033134A" w:rsidRDefault="0033134A" w:rsidP="0033134A">
      <w:pPr>
        <w:rPr>
          <w:lang w:val="en-GB"/>
        </w:rPr>
      </w:pPr>
      <w:r w:rsidRPr="00EC6D32">
        <w:rPr>
          <w:noProof/>
          <w:lang w:val="en-GB"/>
        </w:rPr>
        <mc:AlternateContent>
          <mc:Choice Requires="wps">
            <w:drawing>
              <wp:inline distT="0" distB="0" distL="0" distR="0" wp14:anchorId="0A64889D" wp14:editId="4DD9B1CC">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25E69D1" w14:textId="77777777" w:rsidR="00FF442A" w:rsidRPr="00386A91" w:rsidRDefault="00FF442A" w:rsidP="00870A97">
                            <w:pPr>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1B0E3F75" w14:textId="77777777" w:rsidR="00FF442A" w:rsidRPr="00386A91" w:rsidRDefault="00FF442A" w:rsidP="00870A97">
                            <w:pPr>
                              <w:pStyle w:val="ListParagraph"/>
                              <w:numPr>
                                <w:ilvl w:val="0"/>
                                <w:numId w:val="38"/>
                              </w:numPr>
                              <w:snapToGrid w:val="0"/>
                              <w:spacing w:line="240" w:lineRule="auto"/>
                              <w:jc w:val="both"/>
                              <w:rPr>
                                <w:rFonts w:ascii="Times" w:hAnsi="Times" w:cs="Times"/>
                                <w:sz w:val="20"/>
                                <w:szCs w:val="20"/>
                              </w:rPr>
                            </w:pPr>
                            <w:r w:rsidRPr="00386A91">
                              <w:rPr>
                                <w:rFonts w:ascii="Times" w:hAnsi="Times" w:cs="Times"/>
                                <w:sz w:val="20"/>
                                <w:szCs w:val="20"/>
                              </w:rPr>
                              <w:t>The beam indication of candidate cell(s) for Rel-18 LTM should be designed based on the following:</w:t>
                            </w:r>
                          </w:p>
                          <w:p w14:paraId="0CA53EC1" w14:textId="77777777" w:rsidR="00FF442A" w:rsidRPr="00386A91"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Beam indication for Rel-18 LTM is designed based on Rel-17 </w:t>
                            </w:r>
                            <w:r w:rsidRPr="005C049D">
                              <w:rPr>
                                <w:rFonts w:ascii="Times" w:hAnsi="Times" w:cs="Times"/>
                                <w:sz w:val="20"/>
                                <w:szCs w:val="20"/>
                                <w:lang w:eastAsia="x-none"/>
                              </w:rPr>
                              <w:t xml:space="preserve">unified </w:t>
                            </w:r>
                            <w:r w:rsidRPr="00386A91">
                              <w:rPr>
                                <w:rFonts w:ascii="Times" w:hAnsi="Times" w:cs="Times"/>
                                <w:sz w:val="20"/>
                                <w:szCs w:val="20"/>
                                <w:lang w:eastAsia="x-none"/>
                              </w:rPr>
                              <w:t xml:space="preserve">TCI framework, if both serving cell and candidate cell support Rel-17 </w:t>
                            </w:r>
                            <w:r w:rsidRPr="005C049D">
                              <w:rPr>
                                <w:rFonts w:ascii="Times" w:hAnsi="Times" w:cs="Times"/>
                                <w:sz w:val="20"/>
                                <w:szCs w:val="20"/>
                                <w:lang w:eastAsia="x-none"/>
                              </w:rPr>
                              <w:t>unified</w:t>
                            </w:r>
                            <w:r w:rsidRPr="00386A91">
                              <w:rPr>
                                <w:rFonts w:ascii="Times" w:hAnsi="Times" w:cs="Times"/>
                                <w:sz w:val="20"/>
                                <w:szCs w:val="20"/>
                                <w:lang w:eastAsia="x-none"/>
                              </w:rPr>
                              <w:t xml:space="preserve"> TCI framework </w:t>
                            </w:r>
                          </w:p>
                          <w:p w14:paraId="3A651E06" w14:textId="77777777" w:rsidR="00FF442A" w:rsidRPr="00386A91"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whether/how to design mechanism for Beam indication for Rel-18 LTM when at least one from serving cell and candidate cell supports only Rel-15 TCI framework.</w:t>
                            </w:r>
                          </w:p>
                          <w:p w14:paraId="4602917C" w14:textId="224B9F24" w:rsidR="0033134A" w:rsidRPr="00FF442A"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5C049D">
                              <w:rPr>
                                <w:rFonts w:ascii="Times" w:hAnsi="Times" w:cs="Times"/>
                                <w:sz w:val="20"/>
                                <w:szCs w:val="20"/>
                                <w:lang w:eastAsia="x-none"/>
                              </w:rPr>
                              <w:t xml:space="preserve">Note: How and whether to indicate the new serving cell(s) and timing for beam indication are separately discussed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A64889D" id="Text Box 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25E69D1" w14:textId="77777777" w:rsidR="00FF442A" w:rsidRPr="00386A91" w:rsidRDefault="00FF442A" w:rsidP="00870A97">
                      <w:pPr>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1B0E3F75" w14:textId="77777777" w:rsidR="00FF442A" w:rsidRPr="00386A91" w:rsidRDefault="00FF442A" w:rsidP="00870A97">
                      <w:pPr>
                        <w:pStyle w:val="ListParagraph"/>
                        <w:numPr>
                          <w:ilvl w:val="0"/>
                          <w:numId w:val="38"/>
                        </w:numPr>
                        <w:snapToGrid w:val="0"/>
                        <w:spacing w:line="240" w:lineRule="auto"/>
                        <w:jc w:val="both"/>
                        <w:rPr>
                          <w:rFonts w:ascii="Times" w:hAnsi="Times" w:cs="Times"/>
                          <w:sz w:val="20"/>
                          <w:szCs w:val="20"/>
                        </w:rPr>
                      </w:pPr>
                      <w:r w:rsidRPr="00386A91">
                        <w:rPr>
                          <w:rFonts w:ascii="Times" w:hAnsi="Times" w:cs="Times"/>
                          <w:sz w:val="20"/>
                          <w:szCs w:val="20"/>
                        </w:rPr>
                        <w:t>The beam indication of candidate cell(s) for Rel-18 LTM should be designed based on the following:</w:t>
                      </w:r>
                    </w:p>
                    <w:p w14:paraId="0CA53EC1" w14:textId="77777777" w:rsidR="00FF442A" w:rsidRPr="00386A91"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Beam indication for Rel-18 LTM is designed based on Rel-17 </w:t>
                      </w:r>
                      <w:r w:rsidRPr="005C049D">
                        <w:rPr>
                          <w:rFonts w:ascii="Times" w:hAnsi="Times" w:cs="Times"/>
                          <w:sz w:val="20"/>
                          <w:szCs w:val="20"/>
                          <w:lang w:eastAsia="x-none"/>
                        </w:rPr>
                        <w:t xml:space="preserve">unified </w:t>
                      </w:r>
                      <w:r w:rsidRPr="00386A91">
                        <w:rPr>
                          <w:rFonts w:ascii="Times" w:hAnsi="Times" w:cs="Times"/>
                          <w:sz w:val="20"/>
                          <w:szCs w:val="20"/>
                          <w:lang w:eastAsia="x-none"/>
                        </w:rPr>
                        <w:t xml:space="preserve">TCI framework, if both serving cell and candidate cell support Rel-17 </w:t>
                      </w:r>
                      <w:r w:rsidRPr="005C049D">
                        <w:rPr>
                          <w:rFonts w:ascii="Times" w:hAnsi="Times" w:cs="Times"/>
                          <w:sz w:val="20"/>
                          <w:szCs w:val="20"/>
                          <w:lang w:eastAsia="x-none"/>
                        </w:rPr>
                        <w:t>unified</w:t>
                      </w:r>
                      <w:r w:rsidRPr="00386A91">
                        <w:rPr>
                          <w:rFonts w:ascii="Times" w:hAnsi="Times" w:cs="Times"/>
                          <w:sz w:val="20"/>
                          <w:szCs w:val="20"/>
                          <w:lang w:eastAsia="x-none"/>
                        </w:rPr>
                        <w:t xml:space="preserve"> TCI framework </w:t>
                      </w:r>
                    </w:p>
                    <w:p w14:paraId="3A651E06" w14:textId="77777777" w:rsidR="00FF442A" w:rsidRPr="00386A91"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whether/how to design mechanism for Beam indication for Rel-18 LTM when at least one from serving cell and candidate cell supports only Rel-15 TCI framework.</w:t>
                      </w:r>
                    </w:p>
                    <w:p w14:paraId="4602917C" w14:textId="224B9F24" w:rsidR="0033134A" w:rsidRPr="00FF442A" w:rsidRDefault="00FF442A" w:rsidP="00870A97">
                      <w:pPr>
                        <w:pStyle w:val="ListParagraph"/>
                        <w:numPr>
                          <w:ilvl w:val="1"/>
                          <w:numId w:val="41"/>
                        </w:numPr>
                        <w:snapToGrid w:val="0"/>
                        <w:spacing w:line="240" w:lineRule="auto"/>
                        <w:jc w:val="both"/>
                        <w:rPr>
                          <w:rFonts w:ascii="Times" w:hAnsi="Times" w:cs="Times"/>
                          <w:sz w:val="20"/>
                          <w:szCs w:val="20"/>
                          <w:lang w:eastAsia="x-none"/>
                        </w:rPr>
                      </w:pPr>
                      <w:r w:rsidRPr="005C049D">
                        <w:rPr>
                          <w:rFonts w:ascii="Times" w:hAnsi="Times" w:cs="Times"/>
                          <w:sz w:val="20"/>
                          <w:szCs w:val="20"/>
                          <w:lang w:eastAsia="x-none"/>
                        </w:rPr>
                        <w:t xml:space="preserve">Note: How and whether to indicate the new serving cell(s) and timing for beam indication are separately discussed </w:t>
                      </w:r>
                    </w:p>
                  </w:txbxContent>
                </v:textbox>
                <w10:anchorlock/>
              </v:shape>
            </w:pict>
          </mc:Fallback>
        </mc:AlternateContent>
      </w:r>
    </w:p>
    <w:p w14:paraId="715C2A7B" w14:textId="77777777" w:rsidR="00F14051" w:rsidRDefault="00E514F8" w:rsidP="0033134A">
      <w:pPr>
        <w:rPr>
          <w:lang w:val="en-GB"/>
        </w:rPr>
      </w:pPr>
      <w:r>
        <w:rPr>
          <w:lang w:val="en-GB"/>
        </w:rPr>
        <w:t xml:space="preserve">The above agreement states that the beam indication will be designed </w:t>
      </w:r>
      <w:r w:rsidR="0055282C">
        <w:rPr>
          <w:lang w:val="en-GB"/>
        </w:rPr>
        <w:t xml:space="preserve">based on the Rel-17 unified TCI framework. To us this would imply that </w:t>
      </w:r>
      <w:r w:rsidR="007E7D32">
        <w:rPr>
          <w:lang w:val="en-GB"/>
        </w:rPr>
        <w:t xml:space="preserve">the UE must be able to derive a Rel-17 TCI state at the reception of the </w:t>
      </w:r>
      <w:r w:rsidR="00F14051">
        <w:rPr>
          <w:lang w:val="en-GB"/>
        </w:rPr>
        <w:t>beam indication command:</w:t>
      </w:r>
    </w:p>
    <w:p w14:paraId="52D7E673" w14:textId="29CA2B5F" w:rsidR="00E514F8" w:rsidRDefault="00F14051" w:rsidP="00F14051">
      <w:pPr>
        <w:pStyle w:val="Observation"/>
        <w:rPr>
          <w:lang w:val="en-GB"/>
        </w:rPr>
      </w:pPr>
      <w:bookmarkStart w:id="8" w:name="_Toc131756568"/>
      <w:r>
        <w:rPr>
          <w:lang w:val="en-GB"/>
        </w:rPr>
        <w:t>At the reception of the beam indication command, the UE</w:t>
      </w:r>
      <w:r w:rsidR="002859E9">
        <w:rPr>
          <w:lang w:val="en-GB"/>
        </w:rPr>
        <w:t xml:space="preserve"> </w:t>
      </w:r>
      <w:r w:rsidR="002C3343">
        <w:rPr>
          <w:lang w:val="en-GB"/>
        </w:rPr>
        <w:t>should</w:t>
      </w:r>
      <w:r w:rsidR="002859E9">
        <w:rPr>
          <w:lang w:val="en-GB"/>
        </w:rPr>
        <w:t xml:space="preserve"> be able to derive a Rel-17 TCI state.</w:t>
      </w:r>
      <w:bookmarkEnd w:id="8"/>
      <w:r w:rsidR="0055282C">
        <w:rPr>
          <w:lang w:val="en-GB"/>
        </w:rPr>
        <w:t xml:space="preserve"> </w:t>
      </w:r>
    </w:p>
    <w:p w14:paraId="20D7C2E9" w14:textId="6086BEB2" w:rsidR="00D56A01" w:rsidRDefault="008037E6" w:rsidP="0033134A">
      <w:pPr>
        <w:rPr>
          <w:lang w:val="en-GB"/>
        </w:rPr>
      </w:pPr>
      <w:r>
        <w:rPr>
          <w:lang w:val="en-GB"/>
        </w:rPr>
        <w:t xml:space="preserve">Based on </w:t>
      </w:r>
      <w:r w:rsidR="005F2F5E">
        <w:rPr>
          <w:lang w:val="en-GB"/>
        </w:rPr>
        <w:t>reply LS</w:t>
      </w:r>
      <w:r>
        <w:rPr>
          <w:lang w:val="en-GB"/>
        </w:rPr>
        <w:t xml:space="preserve"> from</w:t>
      </w:r>
      <w:r w:rsidR="005F2F5E">
        <w:rPr>
          <w:lang w:val="en-GB"/>
        </w:rPr>
        <w:t xml:space="preserve"> RAN3 </w:t>
      </w:r>
      <w:r>
        <w:rPr>
          <w:lang w:val="en-GB"/>
        </w:rPr>
        <w:fldChar w:fldCharType="begin"/>
      </w:r>
      <w:r>
        <w:rPr>
          <w:lang w:val="en-GB"/>
        </w:rPr>
        <w:instrText xml:space="preserve"> REF _Ref126243756 \r \h </w:instrText>
      </w:r>
      <w:r>
        <w:rPr>
          <w:lang w:val="en-GB"/>
        </w:rPr>
      </w:r>
      <w:r>
        <w:rPr>
          <w:lang w:val="en-GB"/>
        </w:rPr>
        <w:fldChar w:fldCharType="separate"/>
      </w:r>
      <w:r w:rsidR="00837713">
        <w:rPr>
          <w:lang w:val="en-GB"/>
        </w:rPr>
        <w:t>[9]</w:t>
      </w:r>
      <w:r>
        <w:rPr>
          <w:lang w:val="en-GB"/>
        </w:rPr>
        <w:fldChar w:fldCharType="end"/>
      </w:r>
      <w:r>
        <w:rPr>
          <w:lang w:val="en-GB"/>
        </w:rPr>
        <w:t xml:space="preserve">, </w:t>
      </w:r>
      <w:r w:rsidR="006E6C9E">
        <w:rPr>
          <w:lang w:val="en-GB"/>
        </w:rPr>
        <w:t>specification</w:t>
      </w:r>
      <w:r w:rsidR="006D12B8">
        <w:rPr>
          <w:lang w:val="en-GB"/>
        </w:rPr>
        <w:t xml:space="preserve"> enhancements are needed to ensure that knowledge of TCI states </w:t>
      </w:r>
      <w:r w:rsidR="00003290">
        <w:rPr>
          <w:lang w:val="en-GB"/>
        </w:rPr>
        <w:t>(</w:t>
      </w:r>
      <w:r w:rsidR="006D12B8">
        <w:rPr>
          <w:lang w:val="en-GB"/>
        </w:rPr>
        <w:t xml:space="preserve">and </w:t>
      </w:r>
      <w:r w:rsidR="00003290">
        <w:rPr>
          <w:lang w:val="en-GB"/>
        </w:rPr>
        <w:t xml:space="preserve">measurement configurations) </w:t>
      </w:r>
      <w:r w:rsidR="00511561">
        <w:rPr>
          <w:lang w:val="en-GB"/>
        </w:rPr>
        <w:t>is</w:t>
      </w:r>
      <w:r w:rsidR="00003290">
        <w:rPr>
          <w:lang w:val="en-GB"/>
        </w:rPr>
        <w:t xml:space="preserve"> available in the serving DU:</w:t>
      </w:r>
    </w:p>
    <w:p w14:paraId="15A3FD43" w14:textId="2D1EFD12" w:rsidR="00003290" w:rsidRDefault="003C67B8" w:rsidP="00003290">
      <w:pPr>
        <w:pStyle w:val="Observation"/>
        <w:rPr>
          <w:lang w:val="en-GB"/>
        </w:rPr>
      </w:pPr>
      <w:bookmarkStart w:id="9" w:name="_Toc131756569"/>
      <w:r>
        <w:rPr>
          <w:lang w:val="en-GB"/>
        </w:rPr>
        <w:t xml:space="preserve">In the current specification, the serving DU does not know the TCI states </w:t>
      </w:r>
      <w:r w:rsidR="00CB7844">
        <w:rPr>
          <w:lang w:val="en-GB"/>
        </w:rPr>
        <w:t>of cells served by another DU</w:t>
      </w:r>
      <w:r w:rsidR="00C9304C">
        <w:rPr>
          <w:lang w:val="en-GB"/>
        </w:rPr>
        <w:t>. Enhancements to F1 are needed to support</w:t>
      </w:r>
      <w:r w:rsidR="004D3B84">
        <w:rPr>
          <w:lang w:val="en-GB"/>
        </w:rPr>
        <w:t xml:space="preserve"> this.</w:t>
      </w:r>
      <w:bookmarkEnd w:id="9"/>
      <w:r w:rsidR="0099608C">
        <w:rPr>
          <w:lang w:val="en-GB"/>
        </w:rPr>
        <w:t xml:space="preserve"> </w:t>
      </w:r>
    </w:p>
    <w:p w14:paraId="00940EFE" w14:textId="3622A64E" w:rsidR="00BC4B3E" w:rsidRDefault="00D37489" w:rsidP="0033134A">
      <w:pPr>
        <w:rPr>
          <w:lang w:val="en-GB"/>
        </w:rPr>
      </w:pPr>
      <w:r>
        <w:rPr>
          <w:lang w:val="en-GB"/>
        </w:rPr>
        <w:t>The LS response indicate</w:t>
      </w:r>
      <w:r w:rsidR="002C3343">
        <w:rPr>
          <w:lang w:val="en-GB"/>
        </w:rPr>
        <w:t>s</w:t>
      </w:r>
      <w:r>
        <w:rPr>
          <w:lang w:val="en-GB"/>
        </w:rPr>
        <w:t xml:space="preserve"> that </w:t>
      </w:r>
      <w:r w:rsidR="00AB17CB">
        <w:rPr>
          <w:lang w:val="en-GB"/>
        </w:rPr>
        <w:t xml:space="preserve">knowledge of parameters of cells served by another DU </w:t>
      </w:r>
      <w:r w:rsidR="006465F1">
        <w:rPr>
          <w:lang w:val="en-GB"/>
        </w:rPr>
        <w:t xml:space="preserve">cannot be automatically assumed: whatever RAN1 decides will have to be supported by </w:t>
      </w:r>
      <w:r w:rsidR="007E5751">
        <w:rPr>
          <w:lang w:val="en-GB"/>
        </w:rPr>
        <w:t xml:space="preserve">an </w:t>
      </w:r>
      <w:r w:rsidR="006465F1">
        <w:rPr>
          <w:lang w:val="en-GB"/>
        </w:rPr>
        <w:t xml:space="preserve">additional specification effort in RAN3. In order not to complicate this RAN3 work, RAN1 should </w:t>
      </w:r>
      <w:r w:rsidR="00647FD5">
        <w:rPr>
          <w:lang w:val="en-GB"/>
        </w:rPr>
        <w:t xml:space="preserve">avoid requiring </w:t>
      </w:r>
      <w:r w:rsidR="002C5ADA">
        <w:rPr>
          <w:lang w:val="en-GB"/>
        </w:rPr>
        <w:t xml:space="preserve">the presence of </w:t>
      </w:r>
      <w:r w:rsidR="00647FD5">
        <w:rPr>
          <w:lang w:val="en-GB"/>
        </w:rPr>
        <w:t xml:space="preserve">specific </w:t>
      </w:r>
      <w:r w:rsidR="006465F1">
        <w:rPr>
          <w:lang w:val="en-GB"/>
        </w:rPr>
        <w:t>RRC IEs</w:t>
      </w:r>
      <w:r w:rsidR="00B57DF4">
        <w:rPr>
          <w:lang w:val="en-GB"/>
        </w:rPr>
        <w:t>.</w:t>
      </w:r>
      <w:r w:rsidR="00F3043F">
        <w:rPr>
          <w:lang w:val="en-GB"/>
        </w:rPr>
        <w:t xml:space="preserve"> Instead, RAN1 should be </w:t>
      </w:r>
      <w:r w:rsidR="00B57DF4">
        <w:rPr>
          <w:lang w:val="en-GB"/>
        </w:rPr>
        <w:t>very precise when the requirements are defined</w:t>
      </w:r>
      <w:r w:rsidR="00F32AFE">
        <w:rPr>
          <w:lang w:val="en-GB"/>
        </w:rPr>
        <w:t>.</w:t>
      </w:r>
    </w:p>
    <w:p w14:paraId="604CD34A" w14:textId="7382B1CE" w:rsidR="00241C24" w:rsidRDefault="00F64485" w:rsidP="00241C24">
      <w:pPr>
        <w:rPr>
          <w:lang w:val="en-GB"/>
        </w:rPr>
      </w:pPr>
      <w:r>
        <w:rPr>
          <w:lang w:val="en-GB"/>
        </w:rPr>
        <w:t xml:space="preserve">As previously noted, the beam indication will be used by the UE to </w:t>
      </w:r>
      <w:r w:rsidR="002A4B8E">
        <w:rPr>
          <w:lang w:val="en-GB"/>
        </w:rPr>
        <w:t xml:space="preserve">derive a TCI state. The UE will subsequently use this TCI state </w:t>
      </w:r>
      <w:r w:rsidR="004A032B">
        <w:rPr>
          <w:lang w:val="en-GB"/>
        </w:rPr>
        <w:t xml:space="preserve">to support its </w:t>
      </w:r>
      <w:r w:rsidR="001F445B">
        <w:rPr>
          <w:lang w:val="en-GB"/>
        </w:rPr>
        <w:t xml:space="preserve">reception of DL signals, and its transmission of UL signals. </w:t>
      </w:r>
      <w:r w:rsidR="00241C24">
        <w:rPr>
          <w:lang w:val="en-GB"/>
        </w:rPr>
        <w:t xml:space="preserve">Clearly, the beam indication could be a TCI state: this is how it is done in beam management. </w:t>
      </w:r>
      <w:r w:rsidR="00B65D49">
        <w:rPr>
          <w:lang w:val="en-GB"/>
        </w:rPr>
        <w:t xml:space="preserve">Alternatively, the beam indication could be an RS identity, which the UE would use to </w:t>
      </w:r>
      <w:r w:rsidR="006030FA">
        <w:rPr>
          <w:lang w:val="en-GB"/>
        </w:rPr>
        <w:t xml:space="preserve">derive </w:t>
      </w:r>
      <w:r w:rsidR="00637561">
        <w:rPr>
          <w:lang w:val="en-GB"/>
        </w:rPr>
        <w:t xml:space="preserve">the TCI state. The two approaches are depicted in </w:t>
      </w:r>
      <w:r w:rsidR="002644E7">
        <w:rPr>
          <w:lang w:val="en-GB"/>
        </w:rPr>
        <w:fldChar w:fldCharType="begin"/>
      </w:r>
      <w:r w:rsidR="002644E7">
        <w:rPr>
          <w:lang w:val="en-GB"/>
        </w:rPr>
        <w:instrText xml:space="preserve"> REF _Ref126338982 \h </w:instrText>
      </w:r>
      <w:r w:rsidR="002644E7">
        <w:rPr>
          <w:lang w:val="en-GB"/>
        </w:rPr>
      </w:r>
      <w:r w:rsidR="002644E7">
        <w:rPr>
          <w:lang w:val="en-GB"/>
        </w:rPr>
        <w:fldChar w:fldCharType="separate"/>
      </w:r>
      <w:r w:rsidR="00837713">
        <w:t xml:space="preserve">Figure </w:t>
      </w:r>
      <w:r w:rsidR="00837713">
        <w:rPr>
          <w:noProof/>
        </w:rPr>
        <w:t>2</w:t>
      </w:r>
      <w:r w:rsidR="002644E7">
        <w:rPr>
          <w:lang w:val="en-GB"/>
        </w:rPr>
        <w:fldChar w:fldCharType="end"/>
      </w:r>
      <w:r w:rsidR="002644E7">
        <w:rPr>
          <w:lang w:val="en-GB"/>
        </w:rPr>
        <w:t>.</w:t>
      </w:r>
    </w:p>
    <w:p w14:paraId="46590EEA" w14:textId="52BD4F08" w:rsidR="00241C24" w:rsidRDefault="003B7D3E" w:rsidP="00241C24">
      <w:pPr>
        <w:rPr>
          <w:lang w:val="en-GB"/>
        </w:rPr>
      </w:pPr>
      <w:r w:rsidRPr="003B7D3E">
        <w:rPr>
          <w:noProof/>
        </w:rPr>
        <w:drawing>
          <wp:inline distT="0" distB="0" distL="0" distR="0" wp14:anchorId="1D62ADCA" wp14:editId="088DF94B">
            <wp:extent cx="5797550" cy="20702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8945" cy="2070751"/>
                    </a:xfrm>
                    <a:prstGeom prst="rect">
                      <a:avLst/>
                    </a:prstGeom>
                    <a:noFill/>
                    <a:ln>
                      <a:noFill/>
                    </a:ln>
                  </pic:spPr>
                </pic:pic>
              </a:graphicData>
            </a:graphic>
          </wp:inline>
        </w:drawing>
      </w:r>
    </w:p>
    <w:p w14:paraId="4ED81538" w14:textId="51E03FBE" w:rsidR="002644E7" w:rsidRDefault="002644E7" w:rsidP="00C22E60">
      <w:pPr>
        <w:pStyle w:val="Caption"/>
        <w:jc w:val="center"/>
        <w:rPr>
          <w:lang w:val="en-GB"/>
        </w:rPr>
      </w:pPr>
      <w:bookmarkStart w:id="10" w:name="_Ref126338982"/>
      <w:r>
        <w:t xml:space="preserve">Figure </w:t>
      </w:r>
      <w:r>
        <w:fldChar w:fldCharType="begin"/>
      </w:r>
      <w:r>
        <w:instrText xml:space="preserve"> SEQ Figure \* ARABIC </w:instrText>
      </w:r>
      <w:r>
        <w:fldChar w:fldCharType="separate"/>
      </w:r>
      <w:r w:rsidR="00837713">
        <w:rPr>
          <w:noProof/>
        </w:rPr>
        <w:t>2</w:t>
      </w:r>
      <w:r>
        <w:fldChar w:fldCharType="end"/>
      </w:r>
      <w:bookmarkEnd w:id="10"/>
      <w:r>
        <w:t>: Two approaches to derive the TCI state.</w:t>
      </w:r>
    </w:p>
    <w:p w14:paraId="5AD1FB1C" w14:textId="2E6CCD30" w:rsidR="003E39CB" w:rsidRDefault="002644E7" w:rsidP="00241C24">
      <w:pPr>
        <w:rPr>
          <w:lang w:val="en-GB"/>
        </w:rPr>
      </w:pPr>
      <w:r>
        <w:rPr>
          <w:lang w:val="en-GB"/>
        </w:rPr>
        <w:t xml:space="preserve">Looking at </w:t>
      </w:r>
      <w:r>
        <w:rPr>
          <w:lang w:val="en-GB"/>
        </w:rPr>
        <w:fldChar w:fldCharType="begin"/>
      </w:r>
      <w:r>
        <w:rPr>
          <w:lang w:val="en-GB"/>
        </w:rPr>
        <w:instrText xml:space="preserve"> REF _Ref126338982 \h </w:instrText>
      </w:r>
      <w:r>
        <w:rPr>
          <w:lang w:val="en-GB"/>
        </w:rPr>
      </w:r>
      <w:r>
        <w:rPr>
          <w:lang w:val="en-GB"/>
        </w:rPr>
        <w:fldChar w:fldCharType="separate"/>
      </w:r>
      <w:r w:rsidR="00837713">
        <w:t xml:space="preserve">Figure </w:t>
      </w:r>
      <w:r w:rsidR="00837713">
        <w:rPr>
          <w:noProof/>
        </w:rPr>
        <w:t>2</w:t>
      </w:r>
      <w:r>
        <w:rPr>
          <w:lang w:val="en-GB"/>
        </w:rPr>
        <w:fldChar w:fldCharType="end"/>
      </w:r>
      <w:r>
        <w:rPr>
          <w:lang w:val="en-GB"/>
        </w:rPr>
        <w:t xml:space="preserve">, </w:t>
      </w:r>
      <w:r w:rsidR="003B7D3E">
        <w:rPr>
          <w:lang w:val="en-GB"/>
        </w:rPr>
        <w:t>the</w:t>
      </w:r>
      <w:r>
        <w:rPr>
          <w:lang w:val="en-GB"/>
        </w:rPr>
        <w:t xml:space="preserve"> two approaches are very similar. </w:t>
      </w:r>
      <w:r w:rsidR="00F04D59">
        <w:rPr>
          <w:lang w:val="en-GB"/>
        </w:rPr>
        <w:t xml:space="preserve">The procedure that needs to be performed is the same: the only difference is which node performs the mapping: the serving DU or the UE. Interestingly enough, the </w:t>
      </w:r>
      <w:r w:rsidR="003B7D3E">
        <w:rPr>
          <w:lang w:val="en-GB"/>
        </w:rPr>
        <w:t xml:space="preserve">UE knows the mapping between the RS and the TCI state – the UE must have this information to be able to operate in the target cell. However, the serving DU does not </w:t>
      </w:r>
      <w:r w:rsidR="00421A71">
        <w:rPr>
          <w:lang w:val="en-GB"/>
        </w:rPr>
        <w:t xml:space="preserve">necessarily </w:t>
      </w:r>
      <w:r w:rsidR="003B7D3E">
        <w:rPr>
          <w:lang w:val="en-GB"/>
        </w:rPr>
        <w:t xml:space="preserve">have this information </w:t>
      </w:r>
      <w:r w:rsidR="00421A71">
        <w:rPr>
          <w:lang w:val="en-GB"/>
        </w:rPr>
        <w:t>–</w:t>
      </w:r>
      <w:r w:rsidR="003B7D3E">
        <w:rPr>
          <w:lang w:val="en-GB"/>
        </w:rPr>
        <w:t xml:space="preserve"> </w:t>
      </w:r>
      <w:r w:rsidR="00421A71">
        <w:rPr>
          <w:lang w:val="en-GB"/>
        </w:rPr>
        <w:t>this is in essence what RAN3 replied</w:t>
      </w:r>
      <w:r w:rsidR="003E39CB">
        <w:rPr>
          <w:lang w:val="en-GB"/>
        </w:rPr>
        <w:t>:</w:t>
      </w:r>
    </w:p>
    <w:p w14:paraId="5D0DB203" w14:textId="56F2A28F" w:rsidR="003B7D3E" w:rsidRPr="003B7D3E" w:rsidRDefault="003E39CB" w:rsidP="003E39CB">
      <w:pPr>
        <w:pStyle w:val="Observation"/>
        <w:rPr>
          <w:lang w:val="en-GB"/>
        </w:rPr>
      </w:pPr>
      <w:bookmarkStart w:id="11" w:name="_Toc131756570"/>
      <w:r>
        <w:rPr>
          <w:lang w:val="en-GB"/>
        </w:rPr>
        <w:lastRenderedPageBreak/>
        <w:t>The serving DU does not automatically know the mapping between an RS and the corresponding TCI state – but the UE does.</w:t>
      </w:r>
      <w:bookmarkEnd w:id="11"/>
      <w:r w:rsidR="00421A71">
        <w:rPr>
          <w:lang w:val="en-GB"/>
        </w:rPr>
        <w:t xml:space="preserve"> </w:t>
      </w:r>
    </w:p>
    <w:p w14:paraId="18BCAE82" w14:textId="09DA0D1A" w:rsidR="003E39CB" w:rsidRDefault="003E39CB" w:rsidP="003E39CB">
      <w:pPr>
        <w:rPr>
          <w:lang w:val="en-GB"/>
        </w:rPr>
      </w:pPr>
      <w:r>
        <w:rPr>
          <w:lang w:val="en-GB"/>
        </w:rPr>
        <w:t xml:space="preserve">Of course, it would be possible to convey this information separately, by introducing additional </w:t>
      </w:r>
      <w:r w:rsidR="006E6C9E">
        <w:rPr>
          <w:lang w:val="en-GB"/>
        </w:rPr>
        <w:t>signalling</w:t>
      </w:r>
      <w:r>
        <w:rPr>
          <w:lang w:val="en-GB"/>
        </w:rPr>
        <w:t xml:space="preserve">. This would </w:t>
      </w:r>
      <w:r w:rsidR="006E6C9E">
        <w:rPr>
          <w:lang w:val="en-GB"/>
        </w:rPr>
        <w:t xml:space="preserve">however </w:t>
      </w:r>
      <w:r>
        <w:rPr>
          <w:lang w:val="en-GB"/>
        </w:rPr>
        <w:t>seem unnecessary, since the serving DU does not need to know the TCI state: the subsequent transmissions and receptions take place with the target DU. Based on this, we propose</w:t>
      </w:r>
    </w:p>
    <w:p w14:paraId="49795781" w14:textId="2F6095CB" w:rsidR="003E39CB" w:rsidRPr="0036013C" w:rsidRDefault="003E39CB" w:rsidP="003E39CB">
      <w:pPr>
        <w:pStyle w:val="Proposal"/>
        <w:rPr>
          <w:lang w:val="en-GB"/>
        </w:rPr>
      </w:pPr>
      <w:bookmarkStart w:id="12" w:name="_Ref118191138"/>
      <w:bookmarkStart w:id="13" w:name="_Ref126568753"/>
      <w:bookmarkStart w:id="14" w:name="_Toc131756576"/>
      <w:r>
        <w:rPr>
          <w:lang w:val="en-GB"/>
        </w:rPr>
        <w:t>The beam indication contains an explicit identifier of a reference signal</w:t>
      </w:r>
      <w:bookmarkEnd w:id="12"/>
      <w:r>
        <w:rPr>
          <w:lang w:val="en-GB"/>
        </w:rPr>
        <w:t>.</w:t>
      </w:r>
      <w:bookmarkEnd w:id="13"/>
      <w:bookmarkEnd w:id="14"/>
    </w:p>
    <w:p w14:paraId="4F1EBB8A" w14:textId="60457D46" w:rsidR="003E39CB" w:rsidRDefault="003E39CB" w:rsidP="003E39CB">
      <w:pPr>
        <w:pStyle w:val="Proposal"/>
        <w:rPr>
          <w:lang w:val="en-GB"/>
        </w:rPr>
      </w:pPr>
      <w:bookmarkStart w:id="15" w:name="_Ref126568754"/>
      <w:bookmarkStart w:id="16" w:name="_Toc131756577"/>
      <w:r>
        <w:rPr>
          <w:lang w:val="en-GB"/>
        </w:rPr>
        <w:t>The UE maps the RS identifier to a TCI state</w:t>
      </w:r>
      <w:r w:rsidR="0014465B">
        <w:rPr>
          <w:lang w:val="en-GB"/>
        </w:rPr>
        <w:t xml:space="preserve"> in the correct candidate configuration</w:t>
      </w:r>
      <w:r>
        <w:rPr>
          <w:lang w:val="en-GB"/>
        </w:rPr>
        <w:t>.</w:t>
      </w:r>
      <w:bookmarkEnd w:id="15"/>
      <w:bookmarkEnd w:id="16"/>
      <w:r>
        <w:rPr>
          <w:lang w:val="en-GB"/>
        </w:rPr>
        <w:t xml:space="preserve"> </w:t>
      </w:r>
    </w:p>
    <w:p w14:paraId="069E2ACD" w14:textId="117EF1E8" w:rsidR="007A33EC" w:rsidRDefault="00D27168" w:rsidP="0033134A">
      <w:pPr>
        <w:rPr>
          <w:lang w:val="en-GB"/>
        </w:rPr>
      </w:pPr>
      <w:r>
        <w:rPr>
          <w:lang w:val="en-GB"/>
        </w:rPr>
        <w:t xml:space="preserve">Another option could be to leave the decision to RAN3: if RAN1 explains the options in </w:t>
      </w:r>
      <w:r>
        <w:rPr>
          <w:lang w:val="en-GB"/>
        </w:rPr>
        <w:fldChar w:fldCharType="begin"/>
      </w:r>
      <w:r>
        <w:rPr>
          <w:lang w:val="en-GB"/>
        </w:rPr>
        <w:instrText xml:space="preserve"> REF _Ref126338982 \h </w:instrText>
      </w:r>
      <w:r>
        <w:rPr>
          <w:lang w:val="en-GB"/>
        </w:rPr>
      </w:r>
      <w:r>
        <w:rPr>
          <w:lang w:val="en-GB"/>
        </w:rPr>
        <w:fldChar w:fldCharType="separate"/>
      </w:r>
      <w:r w:rsidR="00837713">
        <w:t xml:space="preserve">Figure </w:t>
      </w:r>
      <w:r w:rsidR="00837713">
        <w:rPr>
          <w:noProof/>
        </w:rPr>
        <w:t>2</w:t>
      </w:r>
      <w:r>
        <w:rPr>
          <w:lang w:val="en-GB"/>
        </w:rPr>
        <w:fldChar w:fldCharType="end"/>
      </w:r>
      <w:r>
        <w:rPr>
          <w:lang w:val="en-GB"/>
        </w:rPr>
        <w:t>, RAN3 could make the decision on which option to support.</w:t>
      </w:r>
    </w:p>
    <w:p w14:paraId="2E585EA4" w14:textId="5CF9CCC1" w:rsidR="00636134" w:rsidRDefault="00636134" w:rsidP="0033134A">
      <w:pPr>
        <w:rPr>
          <w:lang w:val="en-GB"/>
        </w:rPr>
      </w:pPr>
      <w:r>
        <w:rPr>
          <w:lang w:val="en-GB"/>
        </w:rPr>
        <w:t xml:space="preserve">We note that if </w:t>
      </w:r>
      <w:r>
        <w:rPr>
          <w:lang w:val="en-GB"/>
        </w:rPr>
        <w:fldChar w:fldCharType="begin"/>
      </w:r>
      <w:r>
        <w:rPr>
          <w:lang w:val="en-GB"/>
        </w:rPr>
        <w:instrText xml:space="preserve"> REF _Ref126568754 \r \h </w:instrText>
      </w:r>
      <w:r>
        <w:rPr>
          <w:lang w:val="en-GB"/>
        </w:rPr>
      </w:r>
      <w:r>
        <w:rPr>
          <w:lang w:val="en-GB"/>
        </w:rPr>
        <w:fldChar w:fldCharType="separate"/>
      </w:r>
      <w:r w:rsidR="00837713">
        <w:rPr>
          <w:lang w:val="en-GB"/>
        </w:rPr>
        <w:t>Proposal 4</w:t>
      </w:r>
      <w:r>
        <w:rPr>
          <w:lang w:val="en-GB"/>
        </w:rPr>
        <w:fldChar w:fldCharType="end"/>
      </w:r>
      <w:r>
        <w:rPr>
          <w:lang w:val="en-GB"/>
        </w:rPr>
        <w:t xml:space="preserve"> should work, the UE must be able to unambiguously determine the TCI state from the RS identifier. At first glance, this would seem like an issue for </w:t>
      </w:r>
      <w:r>
        <w:rPr>
          <w:lang w:val="en-GB"/>
        </w:rPr>
        <w:fldChar w:fldCharType="begin"/>
      </w:r>
      <w:r>
        <w:rPr>
          <w:lang w:val="en-GB"/>
        </w:rPr>
        <w:instrText xml:space="preserve"> REF _Ref126568754 \r \h </w:instrText>
      </w:r>
      <w:r>
        <w:rPr>
          <w:lang w:val="en-GB"/>
        </w:rPr>
      </w:r>
      <w:r>
        <w:rPr>
          <w:lang w:val="en-GB"/>
        </w:rPr>
        <w:fldChar w:fldCharType="separate"/>
      </w:r>
      <w:r w:rsidR="00837713">
        <w:rPr>
          <w:lang w:val="en-GB"/>
        </w:rPr>
        <w:t>Proposal 4</w:t>
      </w:r>
      <w:r>
        <w:rPr>
          <w:lang w:val="en-GB"/>
        </w:rPr>
        <w:fldChar w:fldCharType="end"/>
      </w:r>
      <w:r>
        <w:rPr>
          <w:lang w:val="en-GB"/>
        </w:rPr>
        <w:t xml:space="preserve">. However, in all realistic scenarios, the mapping </w:t>
      </w:r>
      <w:r>
        <w:rPr>
          <w:i/>
          <w:iCs/>
          <w:lang w:val="en-GB"/>
        </w:rPr>
        <w:t xml:space="preserve">will be unique: </w:t>
      </w:r>
      <w:r>
        <w:rPr>
          <w:lang w:val="en-GB"/>
        </w:rPr>
        <w:t>there is simply no relevant use case for associating the same RS with multiple TCI states:</w:t>
      </w:r>
    </w:p>
    <w:p w14:paraId="43DCF8E5" w14:textId="42B39C35" w:rsidR="00636134" w:rsidRDefault="00636134" w:rsidP="00636134">
      <w:pPr>
        <w:pStyle w:val="Observation"/>
        <w:rPr>
          <w:lang w:val="en-GB"/>
        </w:rPr>
      </w:pPr>
      <w:bookmarkStart w:id="17" w:name="_Toc131756571"/>
      <w:r>
        <w:rPr>
          <w:lang w:val="en-GB"/>
        </w:rPr>
        <w:t>In all relevant cases, the mapping between the explicit RS identifier and the TCI state is unique.</w:t>
      </w:r>
      <w:bookmarkEnd w:id="17"/>
    </w:p>
    <w:p w14:paraId="4C2E7205" w14:textId="591C2AE3" w:rsidR="00636134" w:rsidRDefault="00636134" w:rsidP="0033134A">
      <w:pPr>
        <w:rPr>
          <w:lang w:val="en-GB"/>
        </w:rPr>
      </w:pPr>
      <w:r>
        <w:rPr>
          <w:lang w:val="en-GB"/>
        </w:rPr>
        <w:t>Even if one RS identifier was mapped to more than one TCI state, the serving DU has no additional information on which TCI state to choose – so the serving DU would simply have to choose an arbitrary TCI state.</w:t>
      </w:r>
    </w:p>
    <w:p w14:paraId="7B125AD3" w14:textId="236233AD" w:rsidR="00636134" w:rsidRDefault="00636134" w:rsidP="0033134A">
      <w:pPr>
        <w:rPr>
          <w:lang w:val="en-GB"/>
        </w:rPr>
      </w:pPr>
      <w:r>
        <w:rPr>
          <w:lang w:val="en-GB"/>
        </w:rPr>
        <w:t>In practice, the mapping between the RS identifier and the TCI state would be provided by the QCL relationship. Assuming the RS identifier is an SSB index, a straightforward rule would be that the UE chooses the TCI state that has the</w:t>
      </w:r>
      <w:r w:rsidR="00635D56">
        <w:rPr>
          <w:lang w:val="en-GB"/>
        </w:rPr>
        <w:t xml:space="preserve"> SSB index as QCL Type-C source:</w:t>
      </w:r>
    </w:p>
    <w:p w14:paraId="6934B191" w14:textId="6447E189" w:rsidR="00636134" w:rsidRPr="00635D56" w:rsidRDefault="00635D56" w:rsidP="0033134A">
      <w:pPr>
        <w:pStyle w:val="Proposal"/>
        <w:rPr>
          <w:lang w:val="en-GB"/>
        </w:rPr>
      </w:pPr>
      <w:bookmarkStart w:id="18" w:name="_Toc131756578"/>
      <w:r>
        <w:rPr>
          <w:lang w:val="en-GB"/>
        </w:rPr>
        <w:t>The UE chooses the TCI state that has the signalled SSB as QCL Type</w:t>
      </w:r>
      <w:r w:rsidR="007E5335">
        <w:rPr>
          <w:lang w:val="en-GB"/>
        </w:rPr>
        <w:t>-</w:t>
      </w:r>
      <w:r>
        <w:rPr>
          <w:lang w:val="en-GB"/>
        </w:rPr>
        <w:t>C source.</w:t>
      </w:r>
      <w:bookmarkEnd w:id="18"/>
      <w:r>
        <w:rPr>
          <w:lang w:val="en-GB"/>
        </w:rPr>
        <w:t xml:space="preserve"> </w:t>
      </w:r>
    </w:p>
    <w:p w14:paraId="7B400DC2" w14:textId="4BCF2585" w:rsidR="00370826" w:rsidRDefault="004570D8" w:rsidP="00D1784F">
      <w:pPr>
        <w:rPr>
          <w:lang w:val="en-GB"/>
        </w:rPr>
      </w:pPr>
      <w:r>
        <w:rPr>
          <w:lang w:val="en-GB" w:eastAsia="ja-JP"/>
        </w:rPr>
        <w:t xml:space="preserve">As mentioned in </w:t>
      </w:r>
      <w:r>
        <w:rPr>
          <w:lang w:val="en-GB" w:eastAsia="ja-JP"/>
        </w:rPr>
        <w:fldChar w:fldCharType="begin"/>
      </w:r>
      <w:r>
        <w:rPr>
          <w:lang w:val="en-GB" w:eastAsia="ja-JP"/>
        </w:rPr>
        <w:instrText xml:space="preserve"> REF _Ref118191138 \r \h </w:instrText>
      </w:r>
      <w:r>
        <w:rPr>
          <w:lang w:val="en-GB" w:eastAsia="ja-JP"/>
        </w:rPr>
      </w:r>
      <w:r>
        <w:rPr>
          <w:lang w:val="en-GB" w:eastAsia="ja-JP"/>
        </w:rPr>
        <w:fldChar w:fldCharType="separate"/>
      </w:r>
      <w:r w:rsidR="00837713">
        <w:rPr>
          <w:lang w:val="en-GB" w:eastAsia="ja-JP"/>
        </w:rPr>
        <w:t>Proposal 3</w:t>
      </w:r>
      <w:r>
        <w:rPr>
          <w:lang w:val="en-GB" w:eastAsia="ja-JP"/>
        </w:rPr>
        <w:fldChar w:fldCharType="end"/>
      </w:r>
      <w:r>
        <w:rPr>
          <w:lang w:val="en-GB" w:eastAsia="ja-JP"/>
        </w:rPr>
        <w:t xml:space="preserve">, the beam indication would be provided by a reference signal, i.e., an SSB of the target cell. By providing an SSB as a QCL source, the communication in the target cell can be kickstarted. </w:t>
      </w:r>
      <w:r>
        <w:rPr>
          <w:lang w:val="en-GB"/>
        </w:rPr>
        <w:t xml:space="preserve">This SSB would be used as pathloss reference signal, as a </w:t>
      </w:r>
      <w:r w:rsidR="00370826">
        <w:rPr>
          <w:lang w:val="en-GB"/>
        </w:rPr>
        <w:t>QCL source</w:t>
      </w:r>
      <w:r>
        <w:rPr>
          <w:lang w:val="en-GB"/>
        </w:rPr>
        <w:t xml:space="preserve">, and to determine the spatial Tx filter in FR2. </w:t>
      </w:r>
      <w:r w:rsidR="00370826">
        <w:rPr>
          <w:lang w:val="en-GB"/>
        </w:rPr>
        <w:t>When the beam indication has been applied, the UE can receive all DL signals/channels, and transmit any UL signals/channels:</w:t>
      </w:r>
    </w:p>
    <w:p w14:paraId="38E572A6" w14:textId="19912F93" w:rsidR="00370826" w:rsidRPr="00145E23" w:rsidRDefault="00370826" w:rsidP="00D1784F">
      <w:pPr>
        <w:pStyle w:val="Proposal"/>
        <w:rPr>
          <w:lang w:val="en-GB"/>
        </w:rPr>
      </w:pPr>
      <w:bookmarkStart w:id="19" w:name="_Toc131756579"/>
      <w:r>
        <w:rPr>
          <w:lang w:val="en-GB"/>
        </w:rPr>
        <w:t>After the beam indication has been applied, the UE can receive all DL signals/channels, and transmit all UL signals/channels.</w:t>
      </w:r>
      <w:bookmarkEnd w:id="19"/>
    </w:p>
    <w:p w14:paraId="063953AA" w14:textId="0F5EE580" w:rsidR="002C3343" w:rsidRDefault="00145E23" w:rsidP="00D1784F">
      <w:pPr>
        <w:rPr>
          <w:lang w:val="en-GB"/>
        </w:rPr>
      </w:pPr>
      <w:r>
        <w:rPr>
          <w:lang w:val="en-GB"/>
        </w:rPr>
        <w:t xml:space="preserve">We note that this means that the UE has </w:t>
      </w:r>
      <w:r w:rsidR="00113E07">
        <w:rPr>
          <w:lang w:val="en-GB"/>
        </w:rPr>
        <w:t xml:space="preserve">already </w:t>
      </w:r>
      <w:r>
        <w:rPr>
          <w:lang w:val="en-GB"/>
        </w:rPr>
        <w:t>estimated the channel properties it needs to demodulate PDCCH/PDSCH, for example the QCL Type-A properties</w:t>
      </w:r>
      <w:r w:rsidR="00370826">
        <w:rPr>
          <w:lang w:val="en-GB"/>
        </w:rPr>
        <w:t xml:space="preserve"> </w:t>
      </w:r>
      <w:r w:rsidR="00113E07">
        <w:rPr>
          <w:lang w:val="en-GB"/>
        </w:rPr>
        <w:t>of the PDCCH/PDSCH DMRS. The benefits of LTM would be lost if the UE would have to wait for the reception of another SSB, as in legacy.</w:t>
      </w:r>
      <w:r w:rsidR="004D26E2">
        <w:rPr>
          <w:lang w:val="en-GB"/>
        </w:rPr>
        <w:t xml:space="preserve"> The procedure is outlined in </w:t>
      </w:r>
      <w:r w:rsidR="004D26E2">
        <w:rPr>
          <w:lang w:val="en-GB"/>
        </w:rPr>
        <w:fldChar w:fldCharType="begin"/>
      </w:r>
      <w:r w:rsidR="004D26E2">
        <w:rPr>
          <w:lang w:val="en-GB"/>
        </w:rPr>
        <w:instrText xml:space="preserve"> REF _Ref130798879 \h </w:instrText>
      </w:r>
      <w:r w:rsidR="004D26E2">
        <w:rPr>
          <w:lang w:val="en-GB"/>
        </w:rPr>
      </w:r>
      <w:r w:rsidR="004D26E2">
        <w:rPr>
          <w:lang w:val="en-GB"/>
        </w:rPr>
        <w:fldChar w:fldCharType="separate"/>
      </w:r>
      <w:r w:rsidR="00837713">
        <w:t xml:space="preserve">Figure </w:t>
      </w:r>
      <w:r w:rsidR="00837713">
        <w:rPr>
          <w:noProof/>
        </w:rPr>
        <w:t>3</w:t>
      </w:r>
      <w:r w:rsidR="004D26E2">
        <w:rPr>
          <w:lang w:val="en-GB"/>
        </w:rPr>
        <w:fldChar w:fldCharType="end"/>
      </w:r>
      <w:r w:rsidR="004D26E2">
        <w:rPr>
          <w:lang w:val="en-GB"/>
        </w:rPr>
        <w:t>.</w:t>
      </w:r>
    </w:p>
    <w:p w14:paraId="1924DC94" w14:textId="053FCE9A" w:rsidR="004D26E2" w:rsidRPr="004D26E2" w:rsidRDefault="004D26E2" w:rsidP="004D26E2">
      <w:pPr>
        <w:pStyle w:val="TH"/>
        <w:rPr>
          <w:lang w:val="en-GB"/>
        </w:rPr>
      </w:pPr>
      <w:r w:rsidRPr="004D26E2">
        <w:rPr>
          <w:noProof/>
        </w:rPr>
        <w:drawing>
          <wp:inline distT="0" distB="0" distL="0" distR="0" wp14:anchorId="0666AEB5" wp14:editId="637529A1">
            <wp:extent cx="4229100" cy="14004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9318" cy="1403795"/>
                    </a:xfrm>
                    <a:prstGeom prst="rect">
                      <a:avLst/>
                    </a:prstGeom>
                    <a:noFill/>
                    <a:ln>
                      <a:noFill/>
                    </a:ln>
                  </pic:spPr>
                </pic:pic>
              </a:graphicData>
            </a:graphic>
          </wp:inline>
        </w:drawing>
      </w:r>
    </w:p>
    <w:p w14:paraId="3F2536EF" w14:textId="29D068CB" w:rsidR="004D26E2" w:rsidRDefault="004D26E2" w:rsidP="004D26E2">
      <w:pPr>
        <w:pStyle w:val="TF"/>
        <w:rPr>
          <w:highlight w:val="yellow"/>
        </w:rPr>
      </w:pPr>
      <w:bookmarkStart w:id="20" w:name="_Ref130798879"/>
      <w:r>
        <w:t xml:space="preserve">Figure </w:t>
      </w:r>
      <w:r w:rsidR="00747FD4">
        <w:fldChar w:fldCharType="begin"/>
      </w:r>
      <w:r w:rsidR="00747FD4">
        <w:instrText xml:space="preserve"> SEQ Figure \* ARABIC </w:instrText>
      </w:r>
      <w:r w:rsidR="00747FD4">
        <w:fldChar w:fldCharType="separate"/>
      </w:r>
      <w:r w:rsidR="00837713">
        <w:rPr>
          <w:noProof/>
        </w:rPr>
        <w:t>3</w:t>
      </w:r>
      <w:r w:rsidR="00747FD4">
        <w:rPr>
          <w:noProof/>
        </w:rPr>
        <w:fldChar w:fldCharType="end"/>
      </w:r>
      <w:bookmarkEnd w:id="20"/>
      <w:r>
        <w:t>: Timeline for UE reception after cell-switch command.</w:t>
      </w:r>
    </w:p>
    <w:p w14:paraId="45E40FE5" w14:textId="3F209A78" w:rsidR="004D26E2" w:rsidRDefault="004D26E2" w:rsidP="00A6274B">
      <w:pPr>
        <w:rPr>
          <w:lang w:val="en-GB" w:eastAsia="ja-JP"/>
        </w:rPr>
      </w:pPr>
      <w:r>
        <w:rPr>
          <w:lang w:val="en-GB" w:eastAsia="ja-JP"/>
        </w:rPr>
        <w:t>The beam indication contains an identifier to a reference signal, i.e., an SSB.</w:t>
      </w:r>
      <w:r w:rsidR="00876207">
        <w:rPr>
          <w:lang w:val="en-GB" w:eastAsia="ja-JP"/>
        </w:rPr>
        <w:t xml:space="preserve"> Once the beam indication has been applied, i.e., after a suitable delay, the UE directly uses the SSB included in the beam indication to demodulate PDCCH/PDSCH. Once the UE receives the first TRS, the UE instead uses the TRS to assist in the demodulation of PDCCH/PDSCH. The performance of the DL reception will be somewhat degraded before the TRS is received: the accuracy of some of the QCL parameter estimates will be worse. However, </w:t>
      </w:r>
      <w:r w:rsidR="00876207">
        <w:rPr>
          <w:lang w:val="en-GB" w:eastAsia="ja-JP"/>
        </w:rPr>
        <w:lastRenderedPageBreak/>
        <w:t>this is only during a short</w:t>
      </w:r>
      <w:r w:rsidR="00573729">
        <w:rPr>
          <w:lang w:val="en-GB" w:eastAsia="ja-JP"/>
        </w:rPr>
        <w:t xml:space="preserve"> period, and the performance difference is anyway quite small, as demonstrated in </w:t>
      </w:r>
      <w:r w:rsidR="00573729">
        <w:rPr>
          <w:lang w:val="en-GB" w:eastAsia="ja-JP"/>
        </w:rPr>
        <w:fldChar w:fldCharType="begin"/>
      </w:r>
      <w:r w:rsidR="00573729">
        <w:rPr>
          <w:lang w:val="en-GB" w:eastAsia="ja-JP"/>
        </w:rPr>
        <w:instrText xml:space="preserve"> REF _Ref118213571 \r \h </w:instrText>
      </w:r>
      <w:r w:rsidR="00573729">
        <w:rPr>
          <w:lang w:val="en-GB" w:eastAsia="ja-JP"/>
        </w:rPr>
      </w:r>
      <w:r w:rsidR="00573729">
        <w:rPr>
          <w:lang w:val="en-GB" w:eastAsia="ja-JP"/>
        </w:rPr>
        <w:fldChar w:fldCharType="separate"/>
      </w:r>
      <w:r w:rsidR="00837713">
        <w:rPr>
          <w:lang w:val="en-GB" w:eastAsia="ja-JP"/>
        </w:rPr>
        <w:t>[5]</w:t>
      </w:r>
      <w:r w:rsidR="00573729">
        <w:rPr>
          <w:lang w:val="en-GB" w:eastAsia="ja-JP"/>
        </w:rPr>
        <w:fldChar w:fldCharType="end"/>
      </w:r>
      <w:r w:rsidR="00573729">
        <w:rPr>
          <w:lang w:val="en-GB" w:eastAsia="ja-JP"/>
        </w:rPr>
        <w:t>.</w:t>
      </w:r>
      <w:r w:rsidR="00876207">
        <w:rPr>
          <w:lang w:val="en-GB" w:eastAsia="ja-JP"/>
        </w:rPr>
        <w:t xml:space="preserve"> </w:t>
      </w:r>
    </w:p>
    <w:p w14:paraId="2DDA8511" w14:textId="1136DF21" w:rsidR="001E4F01" w:rsidRDefault="00F90277" w:rsidP="00A6274B">
      <w:pPr>
        <w:rPr>
          <w:lang w:val="en-GB" w:eastAsia="ja-JP"/>
        </w:rPr>
      </w:pPr>
      <w:r>
        <w:rPr>
          <w:lang w:val="en-GB" w:eastAsia="ja-JP"/>
        </w:rPr>
        <w:t xml:space="preserve">Carrier aggregation </w:t>
      </w:r>
      <w:r w:rsidR="009562E0">
        <w:rPr>
          <w:lang w:val="en-GB" w:eastAsia="ja-JP"/>
        </w:rPr>
        <w:t xml:space="preserve">(CA) </w:t>
      </w:r>
      <w:r>
        <w:rPr>
          <w:lang w:val="en-GB" w:eastAsia="ja-JP"/>
        </w:rPr>
        <w:t>will be support</w:t>
      </w:r>
      <w:r w:rsidR="00141F53">
        <w:rPr>
          <w:lang w:val="en-GB" w:eastAsia="ja-JP"/>
        </w:rPr>
        <w:t>ed</w:t>
      </w:r>
      <w:r>
        <w:rPr>
          <w:lang w:val="en-GB" w:eastAsia="ja-JP"/>
        </w:rPr>
        <w:t xml:space="preserve"> with </w:t>
      </w:r>
      <w:r w:rsidRPr="00F90277">
        <w:rPr>
          <w:lang w:val="en-GB" w:eastAsia="ja-JP"/>
        </w:rPr>
        <w:t>LTM</w:t>
      </w:r>
      <w:r>
        <w:rPr>
          <w:lang w:val="en-GB" w:eastAsia="ja-JP"/>
        </w:rPr>
        <w:t xml:space="preserve">. </w:t>
      </w:r>
      <w:r w:rsidR="003E7994">
        <w:rPr>
          <w:lang w:val="en-GB" w:eastAsia="ja-JP"/>
        </w:rPr>
        <w:t>This means that the UE can be configured with multiple serving cells after the cell-switch</w:t>
      </w:r>
      <w:r w:rsidR="009562E0">
        <w:rPr>
          <w:lang w:val="en-GB" w:eastAsia="ja-JP"/>
        </w:rPr>
        <w:t>.</w:t>
      </w:r>
      <w:r w:rsidR="001E4F01">
        <w:rPr>
          <w:lang w:val="en-GB" w:eastAsia="ja-JP"/>
        </w:rPr>
        <w:t xml:space="preserve"> The relation between the beam indication and these multiple serving cells is not clear: for instance, the RS identity proposed in </w:t>
      </w:r>
      <w:r w:rsidR="001E4F01">
        <w:rPr>
          <w:lang w:val="en-GB" w:eastAsia="ja-JP"/>
        </w:rPr>
        <w:fldChar w:fldCharType="begin"/>
      </w:r>
      <w:r w:rsidR="001E4F01">
        <w:rPr>
          <w:lang w:val="en-GB" w:eastAsia="ja-JP"/>
        </w:rPr>
        <w:instrText xml:space="preserve"> REF _Ref126568753 \r \h </w:instrText>
      </w:r>
      <w:r w:rsidR="001E4F01">
        <w:rPr>
          <w:lang w:val="en-GB" w:eastAsia="ja-JP"/>
        </w:rPr>
      </w:r>
      <w:r w:rsidR="001E4F01">
        <w:rPr>
          <w:lang w:val="en-GB" w:eastAsia="ja-JP"/>
        </w:rPr>
        <w:fldChar w:fldCharType="separate"/>
      </w:r>
      <w:r w:rsidR="00837713">
        <w:rPr>
          <w:lang w:val="en-GB" w:eastAsia="ja-JP"/>
        </w:rPr>
        <w:t>Proposal 3</w:t>
      </w:r>
      <w:r w:rsidR="001E4F01">
        <w:rPr>
          <w:lang w:val="en-GB" w:eastAsia="ja-JP"/>
        </w:rPr>
        <w:fldChar w:fldCharType="end"/>
      </w:r>
      <w:r w:rsidR="001E4F01">
        <w:rPr>
          <w:lang w:val="en-GB" w:eastAsia="ja-JP"/>
        </w:rPr>
        <w:t xml:space="preserve">, to which serving cell does that refer? To clarify this, we propose  </w:t>
      </w:r>
    </w:p>
    <w:p w14:paraId="56869886" w14:textId="7CD305FA" w:rsidR="001E4F01" w:rsidRPr="00A6274B" w:rsidRDefault="001E4F01" w:rsidP="001E4F01">
      <w:pPr>
        <w:pStyle w:val="Proposal"/>
        <w:rPr>
          <w:lang w:val="en-GB" w:eastAsia="ja-JP"/>
        </w:rPr>
      </w:pPr>
      <w:bookmarkStart w:id="21" w:name="_Toc131756580"/>
      <w:r w:rsidRPr="00A6274B">
        <w:rPr>
          <w:lang w:val="en-GB"/>
        </w:rPr>
        <w:t xml:space="preserve">The </w:t>
      </w:r>
      <w:r>
        <w:rPr>
          <w:lang w:val="en-GB"/>
        </w:rPr>
        <w:t>explicit RS identity refers to the SpCell of the indicated candidate.</w:t>
      </w:r>
      <w:bookmarkEnd w:id="21"/>
      <w:r>
        <w:rPr>
          <w:lang w:val="en-GB"/>
        </w:rPr>
        <w:t xml:space="preserve"> </w:t>
      </w:r>
    </w:p>
    <w:p w14:paraId="12129E58" w14:textId="126468E8" w:rsidR="004F54AF" w:rsidRDefault="0089024D" w:rsidP="006A782A">
      <w:pPr>
        <w:rPr>
          <w:lang w:val="en-GB" w:eastAsia="ja-JP"/>
        </w:rPr>
      </w:pPr>
      <w:r>
        <w:rPr>
          <w:lang w:val="en-GB" w:eastAsia="ja-JP"/>
        </w:rPr>
        <w:t>I</w:t>
      </w:r>
      <w:r w:rsidR="006A782A">
        <w:rPr>
          <w:lang w:val="en-GB" w:eastAsia="ja-JP"/>
        </w:rPr>
        <w:t>t could be considered to deliver one such RS identity for each serving cell</w:t>
      </w:r>
      <w:r>
        <w:rPr>
          <w:lang w:val="en-GB" w:eastAsia="ja-JP"/>
        </w:rPr>
        <w:t xml:space="preserve"> of the candidate configuration</w:t>
      </w:r>
      <w:r w:rsidR="006A782A">
        <w:rPr>
          <w:lang w:val="en-GB" w:eastAsia="ja-JP"/>
        </w:rPr>
        <w:t>, to kick-start the communication in each serving cell. Here we note that legacy functionality can be used: the RRC parameters</w:t>
      </w:r>
      <w:r>
        <w:rPr>
          <w:lang w:val="en-GB" w:eastAsia="ja-JP"/>
        </w:rPr>
        <w:t xml:space="preserve"> </w:t>
      </w:r>
      <w:r w:rsidRPr="0089024D">
        <w:rPr>
          <w:i/>
          <w:iCs/>
          <w:lang w:val="en-GB" w:eastAsia="ja-JP"/>
        </w:rPr>
        <w:t>simultaneousU-TCI-UpdateList</w:t>
      </w:r>
      <w:r>
        <w:rPr>
          <w:lang w:val="en-GB" w:eastAsia="ja-JP"/>
        </w:rPr>
        <w:t xml:space="preserve"> </w:t>
      </w:r>
      <w:r w:rsidR="006A782A">
        <w:rPr>
          <w:lang w:val="en-GB" w:eastAsia="ja-JP"/>
        </w:rPr>
        <w:t>can be configured in the</w:t>
      </w:r>
      <w:r>
        <w:rPr>
          <w:lang w:val="en-GB" w:eastAsia="ja-JP"/>
        </w:rPr>
        <w:t xml:space="preserve"> candidate</w:t>
      </w:r>
      <w:r w:rsidR="006A782A">
        <w:rPr>
          <w:lang w:val="en-GB" w:eastAsia="ja-JP"/>
        </w:rPr>
        <w:t xml:space="preserve">, and when the UE derives the TCI state for the target SpCell, it can also apply new TCI states according to </w:t>
      </w:r>
      <w:r w:rsidRPr="0089024D">
        <w:rPr>
          <w:i/>
          <w:iCs/>
          <w:lang w:val="en-GB" w:eastAsia="ja-JP"/>
        </w:rPr>
        <w:t>simultaneousU-TCI-UpdateList</w:t>
      </w:r>
      <w:r w:rsidR="006A782A">
        <w:rPr>
          <w:lang w:val="en-GB" w:eastAsia="ja-JP"/>
        </w:rPr>
        <w:t xml:space="preserve">. </w:t>
      </w:r>
    </w:p>
    <w:p w14:paraId="079D4363" w14:textId="7AEB6D98" w:rsidR="004F54AF" w:rsidRDefault="006E6C9E" w:rsidP="004F54AF">
      <w:pPr>
        <w:rPr>
          <w:lang w:val="en-GB" w:eastAsia="ja-JP"/>
        </w:rPr>
      </w:pPr>
      <w:r>
        <w:rPr>
          <w:lang w:val="en-GB" w:eastAsia="ja-JP"/>
        </w:rPr>
        <w:t>Additionally</w:t>
      </w:r>
      <w:r w:rsidR="004F54AF">
        <w:rPr>
          <w:lang w:val="en-GB" w:eastAsia="ja-JP"/>
        </w:rPr>
        <w:t xml:space="preserve">, it may be beneficial to also include an explicit BWP ID in the </w:t>
      </w:r>
      <w:r>
        <w:rPr>
          <w:lang w:val="en-GB" w:eastAsia="ja-JP"/>
        </w:rPr>
        <w:t>LTM cell-switch command</w:t>
      </w:r>
      <w:r w:rsidR="004F54AF">
        <w:rPr>
          <w:lang w:val="en-GB" w:eastAsia="ja-JP"/>
        </w:rPr>
        <w:t xml:space="preserve">. The main use case for BWPs is UE power saving, where the </w:t>
      </w:r>
      <w:r w:rsidR="007B3768">
        <w:rPr>
          <w:lang w:val="en-GB" w:eastAsia="ja-JP"/>
        </w:rPr>
        <w:t>network</w:t>
      </w:r>
      <w:r w:rsidR="004F54AF">
        <w:rPr>
          <w:lang w:val="en-GB" w:eastAsia="ja-JP"/>
        </w:rPr>
        <w:t xml:space="preserve"> configures the UE with multiple BWPs, and switches the UE between the normal BWP and power-saving BWP. It would be beneficial if the UE could continue to use a BWP with the same properties before and after the LTM event:</w:t>
      </w:r>
    </w:p>
    <w:p w14:paraId="372EE131" w14:textId="2A4217F3" w:rsidR="004F54AF" w:rsidRPr="00C13327" w:rsidRDefault="004F54AF" w:rsidP="004F54AF">
      <w:pPr>
        <w:pStyle w:val="Proposal"/>
        <w:rPr>
          <w:lang w:val="en-GB"/>
        </w:rPr>
      </w:pPr>
      <w:bookmarkStart w:id="22" w:name="_Ref115081468"/>
      <w:bookmarkStart w:id="23" w:name="_Toc131756581"/>
      <w:r>
        <w:rPr>
          <w:lang w:val="en-GB"/>
        </w:rPr>
        <w:t xml:space="preserve">The beam indication contains ID of the active DL and UL BWPs for the target </w:t>
      </w:r>
      <w:r w:rsidR="00586ECD">
        <w:rPr>
          <w:lang w:val="en-GB"/>
        </w:rPr>
        <w:t>SpCell</w:t>
      </w:r>
      <w:r>
        <w:rPr>
          <w:lang w:val="en-GB"/>
        </w:rPr>
        <w:t>.</w:t>
      </w:r>
      <w:bookmarkEnd w:id="22"/>
      <w:bookmarkEnd w:id="23"/>
    </w:p>
    <w:p w14:paraId="7CA31549" w14:textId="167420B6" w:rsidR="00586ECD" w:rsidRDefault="00586ECD" w:rsidP="00A6274B">
      <w:pPr>
        <w:rPr>
          <w:lang w:val="en-GB" w:eastAsia="ja-JP"/>
        </w:rPr>
      </w:pPr>
      <w:r>
        <w:rPr>
          <w:lang w:val="en-GB" w:eastAsia="ja-JP"/>
        </w:rPr>
        <w:t xml:space="preserve">For the SCells, it is assumed that the active DL and UL BWPs are configured using RRC, i.e., using the fields </w:t>
      </w:r>
      <w:r w:rsidRPr="00586ECD">
        <w:rPr>
          <w:i/>
          <w:iCs/>
          <w:lang w:val="en-GB" w:eastAsia="ja-JP"/>
        </w:rPr>
        <w:t>firstActiveDownlinkBWP-Id</w:t>
      </w:r>
      <w:r>
        <w:rPr>
          <w:lang w:val="en-GB" w:eastAsia="ja-JP"/>
        </w:rPr>
        <w:t xml:space="preserve"> and </w:t>
      </w:r>
      <w:r w:rsidRPr="00586ECD">
        <w:rPr>
          <w:i/>
          <w:iCs/>
          <w:lang w:val="en-GB" w:eastAsia="ja-JP"/>
        </w:rPr>
        <w:t>firstActiveUplinkBWP-Id</w:t>
      </w:r>
      <w:r>
        <w:rPr>
          <w:lang w:val="en-GB" w:eastAsia="ja-JP"/>
        </w:rPr>
        <w:t>. Hence, only for the SpCell, the values for these values can be overridden.</w:t>
      </w:r>
    </w:p>
    <w:p w14:paraId="5C877794" w14:textId="24C71DC2" w:rsidR="00A6274B" w:rsidRPr="00586ECD" w:rsidRDefault="00A6274B" w:rsidP="00A6274B">
      <w:pPr>
        <w:rPr>
          <w:lang w:val="en-GB" w:eastAsia="ja-JP"/>
        </w:rPr>
      </w:pPr>
      <w:r w:rsidRPr="00586ECD">
        <w:rPr>
          <w:lang w:val="en-GB" w:eastAsia="ja-JP"/>
        </w:rPr>
        <w:t xml:space="preserve">The content of the LTM mobility trigger information command is summarized in </w:t>
      </w:r>
      <w:r w:rsidRPr="00586ECD">
        <w:rPr>
          <w:lang w:val="en-GB" w:eastAsia="ja-JP"/>
        </w:rPr>
        <w:fldChar w:fldCharType="begin"/>
      </w:r>
      <w:r w:rsidRPr="00586ECD">
        <w:rPr>
          <w:lang w:val="en-GB" w:eastAsia="ja-JP"/>
        </w:rPr>
        <w:instrText xml:space="preserve"> REF _Ref118198730 \h  \* MERGEFORMAT </w:instrText>
      </w:r>
      <w:r w:rsidRPr="00586ECD">
        <w:rPr>
          <w:lang w:val="en-GB" w:eastAsia="ja-JP"/>
        </w:rPr>
      </w:r>
      <w:r w:rsidRPr="00586ECD">
        <w:rPr>
          <w:lang w:val="en-GB" w:eastAsia="ja-JP"/>
        </w:rPr>
        <w:fldChar w:fldCharType="separate"/>
      </w:r>
      <w:r w:rsidR="00837713" w:rsidRPr="00586ECD">
        <w:t xml:space="preserve">Table </w:t>
      </w:r>
      <w:r w:rsidR="00837713">
        <w:rPr>
          <w:noProof/>
        </w:rPr>
        <w:t>1</w:t>
      </w:r>
      <w:r w:rsidRPr="00586ECD">
        <w:rPr>
          <w:lang w:val="en-GB" w:eastAsia="ja-JP"/>
        </w:rPr>
        <w:fldChar w:fldCharType="end"/>
      </w:r>
      <w:r w:rsidRPr="00586ECD">
        <w:rPr>
          <w:lang w:val="en-GB" w:eastAsia="ja-JP"/>
        </w:rPr>
        <w:t>.</w:t>
      </w:r>
      <w:r w:rsidR="006E6C9E">
        <w:rPr>
          <w:lang w:val="en-GB" w:eastAsia="ja-JP"/>
        </w:rPr>
        <w:t xml:space="preserve"> Note that is has been agreed to include a TA in the cell-switch command.</w:t>
      </w:r>
    </w:p>
    <w:tbl>
      <w:tblPr>
        <w:tblStyle w:val="GridTable4-Accent3"/>
        <w:tblW w:w="0" w:type="auto"/>
        <w:jc w:val="center"/>
        <w:tblLook w:val="04A0" w:firstRow="1" w:lastRow="0" w:firstColumn="1" w:lastColumn="0" w:noHBand="0" w:noVBand="1"/>
      </w:tblPr>
      <w:tblGrid>
        <w:gridCol w:w="2405"/>
        <w:gridCol w:w="2835"/>
      </w:tblGrid>
      <w:tr w:rsidR="00A6274B" w:rsidRPr="00586ECD" w14:paraId="4F76C78C" w14:textId="77777777" w:rsidTr="00A33E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4034AD9" w14:textId="77777777" w:rsidR="00A6274B" w:rsidRPr="00586ECD" w:rsidRDefault="00A6274B" w:rsidP="00A33E6E">
            <w:pPr>
              <w:pStyle w:val="TH"/>
              <w:jc w:val="left"/>
            </w:pPr>
            <w:r w:rsidRPr="00586ECD">
              <w:t>Information</w:t>
            </w:r>
          </w:p>
        </w:tc>
        <w:tc>
          <w:tcPr>
            <w:tcW w:w="2835" w:type="dxa"/>
          </w:tcPr>
          <w:p w14:paraId="1D5B37C2" w14:textId="77777777" w:rsidR="00A6274B" w:rsidRPr="00586ECD" w:rsidRDefault="00A6274B" w:rsidP="00A33E6E">
            <w:pPr>
              <w:pStyle w:val="TH"/>
              <w:jc w:val="left"/>
              <w:cnfStyle w:val="100000000000" w:firstRow="1" w:lastRow="0" w:firstColumn="0" w:lastColumn="0" w:oddVBand="0" w:evenVBand="0" w:oddHBand="0" w:evenHBand="0" w:firstRowFirstColumn="0" w:firstRowLastColumn="0" w:lastRowFirstColumn="0" w:lastRowLastColumn="0"/>
            </w:pPr>
            <w:r w:rsidRPr="00586ECD">
              <w:t>Number of bits</w:t>
            </w:r>
          </w:p>
        </w:tc>
      </w:tr>
      <w:tr w:rsidR="00A6274B" w:rsidRPr="00586ECD" w14:paraId="45953236" w14:textId="77777777" w:rsidTr="00A33E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1AD216EF" w14:textId="62D978CC" w:rsidR="00A6274B" w:rsidRPr="00586ECD" w:rsidRDefault="006E6C9E" w:rsidP="00A33E6E">
            <w:pPr>
              <w:pStyle w:val="TH"/>
              <w:jc w:val="left"/>
              <w:rPr>
                <w:lang w:val="en-US"/>
              </w:rPr>
            </w:pPr>
            <w:r>
              <w:rPr>
                <w:lang w:val="en-US"/>
              </w:rPr>
              <w:t>RAN2 content</w:t>
            </w:r>
          </w:p>
        </w:tc>
        <w:tc>
          <w:tcPr>
            <w:tcW w:w="2835" w:type="dxa"/>
          </w:tcPr>
          <w:p w14:paraId="08C696D6" w14:textId="7D4B3105" w:rsidR="00A6274B" w:rsidRPr="00586ECD" w:rsidRDefault="0089024D" w:rsidP="00A33E6E">
            <w:pPr>
              <w:pStyle w:val="TH"/>
              <w:jc w:val="left"/>
              <w:cnfStyle w:val="000000100000" w:firstRow="0" w:lastRow="0" w:firstColumn="0" w:lastColumn="0" w:oddVBand="0" w:evenVBand="0" w:oddHBand="1" w:evenHBand="0" w:firstRowFirstColumn="0" w:firstRowLastColumn="0" w:lastRowFirstColumn="0" w:lastRowLastColumn="0"/>
              <w:rPr>
                <w:lang w:val="en-US"/>
              </w:rPr>
            </w:pPr>
            <w:r>
              <w:rPr>
                <w:lang w:val="en-US"/>
              </w:rPr>
              <w:t>6</w:t>
            </w:r>
            <w:r w:rsidR="00A6274B" w:rsidRPr="00586ECD">
              <w:t>?</w:t>
            </w:r>
          </w:p>
        </w:tc>
      </w:tr>
      <w:tr w:rsidR="00A6274B" w:rsidRPr="00586ECD" w14:paraId="69182DAA" w14:textId="77777777" w:rsidTr="00A33E6E">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07B40A60" w14:textId="697D55B6" w:rsidR="00A6274B" w:rsidRPr="00586ECD" w:rsidRDefault="00A6274B" w:rsidP="00A33E6E">
            <w:pPr>
              <w:pStyle w:val="TH"/>
              <w:jc w:val="left"/>
              <w:rPr>
                <w:lang w:val="en-US"/>
              </w:rPr>
            </w:pPr>
            <w:r w:rsidRPr="00586ECD">
              <w:t>RS identifier</w:t>
            </w:r>
          </w:p>
        </w:tc>
        <w:tc>
          <w:tcPr>
            <w:tcW w:w="2835" w:type="dxa"/>
          </w:tcPr>
          <w:p w14:paraId="20FEC6AA" w14:textId="57ACD24E" w:rsidR="00A6274B" w:rsidRPr="00586ECD" w:rsidRDefault="00A6274B" w:rsidP="00A33E6E">
            <w:pPr>
              <w:pStyle w:val="TH"/>
              <w:jc w:val="left"/>
              <w:cnfStyle w:val="000000000000" w:firstRow="0" w:lastRow="0" w:firstColumn="0" w:lastColumn="0" w:oddVBand="0" w:evenVBand="0" w:oddHBand="0" w:evenHBand="0" w:firstRowFirstColumn="0" w:firstRowLastColumn="0" w:lastRowFirstColumn="0" w:lastRowLastColumn="0"/>
              <w:rPr>
                <w:lang w:val="en-US"/>
              </w:rPr>
            </w:pPr>
            <w:r w:rsidRPr="00586ECD">
              <w:t xml:space="preserve">6 </w:t>
            </w:r>
          </w:p>
        </w:tc>
      </w:tr>
      <w:tr w:rsidR="00A6274B" w:rsidRPr="00586ECD" w14:paraId="26B5B5A8" w14:textId="77777777" w:rsidTr="00A33E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5F9CBEA7" w14:textId="77777777" w:rsidR="00A6274B" w:rsidRPr="00586ECD" w:rsidRDefault="00A6274B" w:rsidP="00A33E6E">
            <w:pPr>
              <w:pStyle w:val="TH"/>
              <w:jc w:val="left"/>
            </w:pPr>
            <w:r w:rsidRPr="00586ECD">
              <w:t>TA</w:t>
            </w:r>
          </w:p>
        </w:tc>
        <w:tc>
          <w:tcPr>
            <w:tcW w:w="2835" w:type="dxa"/>
          </w:tcPr>
          <w:p w14:paraId="1B4AFC17" w14:textId="77777777" w:rsidR="00A6274B" w:rsidRPr="00586ECD" w:rsidRDefault="00A6274B" w:rsidP="00A33E6E">
            <w:pPr>
              <w:pStyle w:val="TH"/>
              <w:jc w:val="left"/>
              <w:cnfStyle w:val="000000100000" w:firstRow="0" w:lastRow="0" w:firstColumn="0" w:lastColumn="0" w:oddVBand="0" w:evenVBand="0" w:oddHBand="1" w:evenHBand="0" w:firstRowFirstColumn="0" w:firstRowLastColumn="0" w:lastRowFirstColumn="0" w:lastRowLastColumn="0"/>
            </w:pPr>
            <w:r w:rsidRPr="00586ECD">
              <w:t>12</w:t>
            </w:r>
          </w:p>
        </w:tc>
      </w:tr>
      <w:tr w:rsidR="00A6274B" w:rsidRPr="00586ECD" w14:paraId="416B171A" w14:textId="77777777" w:rsidTr="00A33E6E">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2406A375" w14:textId="77777777" w:rsidR="00A6274B" w:rsidRPr="00586ECD" w:rsidRDefault="00A6274B" w:rsidP="00A33E6E">
            <w:pPr>
              <w:pStyle w:val="TH"/>
              <w:jc w:val="left"/>
            </w:pPr>
            <w:r w:rsidRPr="00586ECD">
              <w:t>BWP IDs</w:t>
            </w:r>
          </w:p>
        </w:tc>
        <w:tc>
          <w:tcPr>
            <w:tcW w:w="2835" w:type="dxa"/>
          </w:tcPr>
          <w:p w14:paraId="2DB9868A" w14:textId="662B6A3A" w:rsidR="00A6274B" w:rsidRPr="00586ECD" w:rsidRDefault="00A6274B" w:rsidP="00A33E6E">
            <w:pPr>
              <w:pStyle w:val="TH"/>
              <w:jc w:val="left"/>
              <w:cnfStyle w:val="000000000000" w:firstRow="0" w:lastRow="0" w:firstColumn="0" w:lastColumn="0" w:oddVBand="0" w:evenVBand="0" w:oddHBand="0" w:evenHBand="0" w:firstRowFirstColumn="0" w:firstRowLastColumn="0" w:lastRowFirstColumn="0" w:lastRowLastColumn="0"/>
              <w:rPr>
                <w:lang w:val="en-US"/>
              </w:rPr>
            </w:pPr>
            <w:r w:rsidRPr="00586ECD">
              <w:t>2+2</w:t>
            </w:r>
            <w:r w:rsidRPr="00586ECD">
              <w:rPr>
                <w:lang w:val="en-US"/>
              </w:rPr>
              <w:t xml:space="preserve"> </w:t>
            </w:r>
          </w:p>
        </w:tc>
      </w:tr>
    </w:tbl>
    <w:p w14:paraId="29072EDE" w14:textId="3EFFE366" w:rsidR="00CA78BA" w:rsidRDefault="00A6274B" w:rsidP="004749EA">
      <w:pPr>
        <w:pStyle w:val="TF"/>
        <w:rPr>
          <w:lang w:val="en-US"/>
        </w:rPr>
      </w:pPr>
      <w:bookmarkStart w:id="24" w:name="_Ref118198730"/>
      <w:r w:rsidRPr="00586ECD">
        <w:t xml:space="preserve">Table </w:t>
      </w:r>
      <w:r w:rsidR="00747FD4">
        <w:fldChar w:fldCharType="begin"/>
      </w:r>
      <w:r w:rsidR="00747FD4">
        <w:instrText xml:space="preserve"> SEQ Table \* ARABIC </w:instrText>
      </w:r>
      <w:r w:rsidR="00747FD4">
        <w:fldChar w:fldCharType="separate"/>
      </w:r>
      <w:r w:rsidR="00837713">
        <w:rPr>
          <w:noProof/>
        </w:rPr>
        <w:t>1</w:t>
      </w:r>
      <w:r w:rsidR="00747FD4">
        <w:rPr>
          <w:noProof/>
        </w:rPr>
        <w:fldChar w:fldCharType="end"/>
      </w:r>
      <w:bookmarkEnd w:id="24"/>
      <w:r w:rsidRPr="00586ECD">
        <w:t xml:space="preserve">: Contents of the </w:t>
      </w:r>
      <w:r w:rsidR="006E6C9E">
        <w:rPr>
          <w:lang w:val="en-US"/>
        </w:rPr>
        <w:t>LTM cell-switch command</w:t>
      </w:r>
      <w:r w:rsidRPr="00586ECD">
        <w:t>.</w:t>
      </w:r>
      <w:r w:rsidR="0089024D">
        <w:rPr>
          <w:lang w:val="en-US"/>
        </w:rPr>
        <w:t xml:space="preserve"> Note that we have also included a placeholder for the content specified by RAN2. This would include at least a candidate configuration index. </w:t>
      </w:r>
    </w:p>
    <w:p w14:paraId="0EA3BB21" w14:textId="0504AF89" w:rsidR="0037204F" w:rsidRDefault="0037204F" w:rsidP="0037204F">
      <w:pPr>
        <w:pStyle w:val="Heading2"/>
      </w:pPr>
      <w:r>
        <w:t>2.2</w:t>
      </w:r>
      <w:r>
        <w:tab/>
      </w:r>
      <w:r w:rsidR="00705C7A">
        <w:t>LTM measurements and reporting</w:t>
      </w:r>
    </w:p>
    <w:p w14:paraId="02019670" w14:textId="6A80D9DD" w:rsidR="00195D4F" w:rsidRDefault="00195D4F" w:rsidP="00195D4F">
      <w:pPr>
        <w:pStyle w:val="BodyText"/>
      </w:pPr>
      <w:r>
        <w:t>In RAN1#111, RAN1 made the following agreement:</w:t>
      </w:r>
    </w:p>
    <w:p w14:paraId="1BDC85EA" w14:textId="68FF5820" w:rsidR="00195D4F" w:rsidRDefault="00195D4F" w:rsidP="00B07C72">
      <w:pPr>
        <w:pStyle w:val="BodyText"/>
      </w:pPr>
      <w:r>
        <w:rPr>
          <w:noProof/>
        </w:rPr>
        <mc:AlternateContent>
          <mc:Choice Requires="wps">
            <w:drawing>
              <wp:inline distT="0" distB="0" distL="0" distR="0" wp14:anchorId="26E4A269" wp14:editId="2AE46000">
                <wp:extent cx="6120765" cy="639758"/>
                <wp:effectExtent l="0" t="0" r="13335" b="24130"/>
                <wp:docPr id="19" name="Text Box 19"/>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C5CADB" w14:textId="77777777" w:rsidR="00195D4F" w:rsidRPr="00386A91" w:rsidRDefault="00195D4F" w:rsidP="00195D4F">
                            <w:pPr>
                              <w:tabs>
                                <w:tab w:val="left" w:pos="1680"/>
                              </w:tabs>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4C04296C" w14:textId="77777777" w:rsidR="00195D4F" w:rsidRPr="00386A91" w:rsidRDefault="00195D4F" w:rsidP="00195D4F">
                            <w:pPr>
                              <w:pStyle w:val="ListParagraph"/>
                              <w:numPr>
                                <w:ilvl w:val="0"/>
                                <w:numId w:val="38"/>
                              </w:numPr>
                              <w:snapToGrid w:val="0"/>
                              <w:spacing w:line="240" w:lineRule="auto"/>
                              <w:ind w:left="357" w:hanging="357"/>
                              <w:jc w:val="both"/>
                              <w:rPr>
                                <w:rFonts w:ascii="Times" w:hAnsi="Times" w:cs="Times"/>
                                <w:sz w:val="20"/>
                                <w:szCs w:val="20"/>
                              </w:rPr>
                            </w:pPr>
                            <w:r w:rsidRPr="00386A91">
                              <w:rPr>
                                <w:rFonts w:ascii="Times" w:hAnsi="Times" w:cs="Times"/>
                                <w:sz w:val="20"/>
                                <w:szCs w:val="20"/>
                              </w:rPr>
                              <w:t>For gNB scheduled L1 measurement report for Rel-18 LTM, report as UCI is supported</w:t>
                            </w:r>
                          </w:p>
                          <w:p w14:paraId="56B5E36F" w14:textId="77777777" w:rsidR="00195D4F" w:rsidRPr="00386A91"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Semi-persistent report on PUSCH, and aperiodic report on PUSCH are supported</w:t>
                            </w:r>
                          </w:p>
                          <w:p w14:paraId="1AE2F2F1" w14:textId="77777777" w:rsidR="00195D4F" w:rsidRPr="00386A91" w:rsidRDefault="00195D4F" w:rsidP="00195D4F">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periodic and semi-persistent PUCCH</w:t>
                            </w:r>
                          </w:p>
                          <w:p w14:paraId="5CA6A2DB" w14:textId="45167AFE" w:rsidR="00195D4F" w:rsidRPr="00195D4F"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In a single report instance, report for serving cell and candidate cell(s) for intra-frequency and/or inter-frequency can be included.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E4A269" id="Text Box 19"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71C5CADB" w14:textId="77777777" w:rsidR="00195D4F" w:rsidRPr="00386A91" w:rsidRDefault="00195D4F" w:rsidP="00195D4F">
                      <w:pPr>
                        <w:tabs>
                          <w:tab w:val="left" w:pos="1680"/>
                        </w:tabs>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4C04296C" w14:textId="77777777" w:rsidR="00195D4F" w:rsidRPr="00386A91" w:rsidRDefault="00195D4F" w:rsidP="00195D4F">
                      <w:pPr>
                        <w:pStyle w:val="ListParagraph"/>
                        <w:numPr>
                          <w:ilvl w:val="0"/>
                          <w:numId w:val="38"/>
                        </w:numPr>
                        <w:snapToGrid w:val="0"/>
                        <w:spacing w:line="240" w:lineRule="auto"/>
                        <w:ind w:left="357" w:hanging="357"/>
                        <w:jc w:val="both"/>
                        <w:rPr>
                          <w:rFonts w:ascii="Times" w:hAnsi="Times" w:cs="Times"/>
                          <w:sz w:val="20"/>
                          <w:szCs w:val="20"/>
                        </w:rPr>
                      </w:pPr>
                      <w:r w:rsidRPr="00386A91">
                        <w:rPr>
                          <w:rFonts w:ascii="Times" w:hAnsi="Times" w:cs="Times"/>
                          <w:sz w:val="20"/>
                          <w:szCs w:val="20"/>
                        </w:rPr>
                        <w:t>For gNB scheduled L1 measurement report for Rel-18 LTM, report as UCI is supported</w:t>
                      </w:r>
                    </w:p>
                    <w:p w14:paraId="56B5E36F" w14:textId="77777777" w:rsidR="00195D4F" w:rsidRPr="00386A91"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Semi-persistent report on PUSCH, and aperiodic report on PUSCH are supported</w:t>
                      </w:r>
                    </w:p>
                    <w:p w14:paraId="1AE2F2F1" w14:textId="77777777" w:rsidR="00195D4F" w:rsidRPr="00386A91" w:rsidRDefault="00195D4F" w:rsidP="00195D4F">
                      <w:pPr>
                        <w:pStyle w:val="ListParagraph"/>
                        <w:numPr>
                          <w:ilvl w:val="2"/>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FFS: periodic and semi-persistent PUCCH</w:t>
                      </w:r>
                    </w:p>
                    <w:p w14:paraId="5CA6A2DB" w14:textId="45167AFE" w:rsidR="00195D4F" w:rsidRPr="00195D4F" w:rsidRDefault="00195D4F" w:rsidP="00195D4F">
                      <w:pPr>
                        <w:pStyle w:val="ListParagraph"/>
                        <w:numPr>
                          <w:ilvl w:val="1"/>
                          <w:numId w:val="41"/>
                        </w:numPr>
                        <w:snapToGrid w:val="0"/>
                        <w:spacing w:after="100" w:afterAutospacing="1" w:line="240" w:lineRule="auto"/>
                        <w:jc w:val="both"/>
                        <w:rPr>
                          <w:rFonts w:ascii="Times" w:hAnsi="Times" w:cs="Times"/>
                          <w:sz w:val="20"/>
                          <w:szCs w:val="20"/>
                          <w:lang w:eastAsia="x-none"/>
                        </w:rPr>
                      </w:pPr>
                      <w:r w:rsidRPr="00386A91">
                        <w:rPr>
                          <w:rFonts w:ascii="Times" w:hAnsi="Times" w:cs="Times"/>
                          <w:sz w:val="20"/>
                          <w:szCs w:val="20"/>
                          <w:lang w:eastAsia="x-none"/>
                        </w:rPr>
                        <w:t xml:space="preserve">In a single report instance, report for serving cell and candidate cell(s) for intra-frequency and/or inter-frequency can be included. </w:t>
                      </w:r>
                    </w:p>
                  </w:txbxContent>
                </v:textbox>
                <w10:anchorlock/>
              </v:shape>
            </w:pict>
          </mc:Fallback>
        </mc:AlternateContent>
      </w:r>
    </w:p>
    <w:p w14:paraId="03339C27" w14:textId="17162625" w:rsidR="006479F3" w:rsidRDefault="00195D4F" w:rsidP="00B07C72">
      <w:pPr>
        <w:pStyle w:val="BodyText"/>
      </w:pPr>
      <w:r>
        <w:t>With this agreem</w:t>
      </w:r>
      <w:r w:rsidR="0037334F">
        <w:t xml:space="preserve">ent, RAN1 decided to </w:t>
      </w:r>
      <w:r w:rsidR="00E32BC9">
        <w:t>follow the UCI reporting paradigm from the Rel-15 beam reporting. We think this is unfortunate, since such UCI reporting has only limited flexibility to deal with varying report content</w:t>
      </w:r>
      <w:r w:rsidR="00D7301B">
        <w:t xml:space="preserve">. </w:t>
      </w:r>
      <w:r w:rsidR="0089024D">
        <w:t>This would also require additional RRC reconfiguration of the serving cell when candidate cells are configured</w:t>
      </w:r>
      <w:r w:rsidR="00EA6A96">
        <w:t xml:space="preserve">, as illustrated in </w:t>
      </w:r>
      <w:r w:rsidR="00EA6A96">
        <w:fldChar w:fldCharType="begin"/>
      </w:r>
      <w:r w:rsidR="00EA6A96">
        <w:instrText xml:space="preserve"> REF _Ref127371933 \h </w:instrText>
      </w:r>
      <w:r w:rsidR="00EA6A96">
        <w:fldChar w:fldCharType="separate"/>
      </w:r>
      <w:r w:rsidR="00837713">
        <w:t xml:space="preserve">Figure </w:t>
      </w:r>
      <w:r w:rsidR="00837713">
        <w:rPr>
          <w:noProof/>
        </w:rPr>
        <w:t>1</w:t>
      </w:r>
      <w:r w:rsidR="00EA6A96">
        <w:fldChar w:fldCharType="end"/>
      </w:r>
      <w:r w:rsidR="00EA6A96">
        <w:t>.</w:t>
      </w:r>
      <w:r w:rsidR="0089024D">
        <w:t xml:space="preserve">  </w:t>
      </w:r>
      <w:r w:rsidR="00D7301B">
        <w:t xml:space="preserve">The report size would also be somewhat limited. Finally, the lack of retransmissions </w:t>
      </w:r>
      <w:r w:rsidR="00D7301B">
        <w:lastRenderedPageBreak/>
        <w:t>leads to less reliable reports.</w:t>
      </w:r>
      <w:r w:rsidR="00FC40B4">
        <w:t xml:space="preserve"> </w:t>
      </w:r>
      <w:r w:rsidR="00E32BC9">
        <w:t xml:space="preserve">Nevertheless, once that decision has been made, </w:t>
      </w:r>
      <w:r w:rsidR="00D7301B">
        <w:t>RAN1 should make the best of the situation</w:t>
      </w:r>
      <w:r w:rsidR="00FC40B4">
        <w:t>.</w:t>
      </w:r>
    </w:p>
    <w:p w14:paraId="226DE31A" w14:textId="220FC879" w:rsidR="00616997" w:rsidRDefault="00616997" w:rsidP="00B07C72">
      <w:pPr>
        <w:pStyle w:val="BodyText"/>
      </w:pPr>
      <w:r>
        <w:t>As always, RAN1 should avoid artificial restrictions. Today, UCI can be reported over PUCCH, and there seems to be little benefit of forbidding that for LTM. Hence, we propose</w:t>
      </w:r>
    </w:p>
    <w:p w14:paraId="528A8B5E" w14:textId="09A26A92" w:rsidR="00616997" w:rsidRDefault="00616997" w:rsidP="00616997">
      <w:pPr>
        <w:pStyle w:val="Proposal"/>
      </w:pPr>
      <w:bookmarkStart w:id="25" w:name="_Toc131756582"/>
      <w:r w:rsidRPr="00386A91">
        <w:t xml:space="preserve">For gNB scheduled L1 measurement report for Rel-18 LTM, UCI </w:t>
      </w:r>
      <w:r>
        <w:t>can also be reported over periodic and semi-persistent PUCCH.</w:t>
      </w:r>
      <w:bookmarkEnd w:id="25"/>
    </w:p>
    <w:p w14:paraId="736C63A6" w14:textId="3C526721" w:rsidR="00D80C0D" w:rsidRDefault="00D80C0D" w:rsidP="00B07C72">
      <w:pPr>
        <w:pStyle w:val="BodyText"/>
      </w:pPr>
      <w:r>
        <w:t>The agreement above states that the serving cell can be included in the LTM measurement report. We would like to strengthen this, and proposes:</w:t>
      </w:r>
    </w:p>
    <w:p w14:paraId="404B2EA9" w14:textId="60A4A725" w:rsidR="00D80C0D" w:rsidRDefault="00D80C0D" w:rsidP="00D80C0D">
      <w:pPr>
        <w:pStyle w:val="Proposal"/>
      </w:pPr>
      <w:bookmarkStart w:id="26" w:name="_Toc131756583"/>
      <w:r>
        <w:t xml:space="preserve">In every LTM measurement report, </w:t>
      </w:r>
      <w:r w:rsidR="000070A9">
        <w:t xml:space="preserve">one </w:t>
      </w:r>
      <w:r>
        <w:t xml:space="preserve">measurement from </w:t>
      </w:r>
      <w:r w:rsidR="004D483E">
        <w:t>a</w:t>
      </w:r>
      <w:r>
        <w:t xml:space="preserve"> serving cell </w:t>
      </w:r>
      <w:r w:rsidR="000070A9">
        <w:t>is</w:t>
      </w:r>
      <w:r>
        <w:t xml:space="preserve"> included.</w:t>
      </w:r>
      <w:bookmarkEnd w:id="26"/>
    </w:p>
    <w:p w14:paraId="010307F7" w14:textId="0A304417" w:rsidR="00D80C0D" w:rsidRDefault="00D80C0D" w:rsidP="00B07C72">
      <w:pPr>
        <w:pStyle w:val="BodyText"/>
      </w:pPr>
      <w:r>
        <w:t xml:space="preserve">The reason to always include measurements from the serving cell is that the LTM measurement report is used to </w:t>
      </w:r>
      <w:r w:rsidR="00141F53">
        <w:t xml:space="preserve">compare </w:t>
      </w:r>
      <w:r>
        <w:t xml:space="preserve">the serving cell </w:t>
      </w:r>
      <w:r w:rsidR="00141F53">
        <w:t xml:space="preserve">with the </w:t>
      </w:r>
      <w:r>
        <w:t>candidates</w:t>
      </w:r>
      <w:r w:rsidR="00141F53">
        <w:t>, and a</w:t>
      </w:r>
      <w:r>
        <w:t xml:space="preserve"> measurement report that only contains measurement for a candidate is not useful. We note that L3 measurement reports always include measurement values related to the serving cell.</w:t>
      </w:r>
    </w:p>
    <w:p w14:paraId="1AFE8068" w14:textId="77777777" w:rsidR="008C00ED" w:rsidRDefault="000070A9" w:rsidP="00B07C72">
      <w:pPr>
        <w:pStyle w:val="BodyText"/>
      </w:pPr>
      <w:r>
        <w:t xml:space="preserve">In addition to </w:t>
      </w:r>
      <w:r w:rsidR="00D85817">
        <w:t>the serving cell measurement, the LTM measurement report must include</w:t>
      </w:r>
      <w:r w:rsidR="006B201A">
        <w:t xml:space="preserve"> </w:t>
      </w:r>
      <w:r w:rsidR="008C00ED">
        <w:t>measurement on candidates:</w:t>
      </w:r>
    </w:p>
    <w:p w14:paraId="417F4CDE" w14:textId="19AEFFDF" w:rsidR="008C00ED" w:rsidRDefault="008C00ED" w:rsidP="008C00ED">
      <w:pPr>
        <w:pStyle w:val="Proposal"/>
      </w:pPr>
      <w:bookmarkStart w:id="27" w:name="_Toc131756584"/>
      <w:r>
        <w:t xml:space="preserve">In every LTM measurement report, </w:t>
      </w:r>
      <w:r w:rsidR="00AE175D">
        <w:t xml:space="preserve">a measurement value from one </w:t>
      </w:r>
      <w:r w:rsidR="00BC56C2">
        <w:t xml:space="preserve">primary </w:t>
      </w:r>
      <w:r w:rsidR="00AE175D">
        <w:t xml:space="preserve">candidate </w:t>
      </w:r>
      <w:r w:rsidR="004D483E">
        <w:t xml:space="preserve">cell </w:t>
      </w:r>
      <w:r w:rsidR="00AE175D">
        <w:t>is included.</w:t>
      </w:r>
      <w:bookmarkEnd w:id="27"/>
    </w:p>
    <w:p w14:paraId="3D6ACAC5" w14:textId="37289B00" w:rsidR="00BC55EC" w:rsidRDefault="00BC55EC" w:rsidP="00B07C72">
      <w:pPr>
        <w:pStyle w:val="BodyText"/>
      </w:pPr>
      <w:r>
        <w:t>The UE would report the most suitable cell as the primary candidate cell. As for the intra-cell beam reporting, it is assumed that the most suitable cell (beam) is the cell (beam) with the highest measurement value, although this is not specified.</w:t>
      </w:r>
    </w:p>
    <w:p w14:paraId="0F1DE124" w14:textId="17D1D7E0" w:rsidR="006B201A" w:rsidRDefault="00AE175D" w:rsidP="00B07C72">
      <w:pPr>
        <w:pStyle w:val="BodyText"/>
      </w:pPr>
      <w:r>
        <w:t xml:space="preserve">Based on configuration, measurements from additional </w:t>
      </w:r>
      <w:r w:rsidR="00BC55EC">
        <w:t xml:space="preserve">secondary </w:t>
      </w:r>
      <w:r>
        <w:t>candidates can also be included:</w:t>
      </w:r>
    </w:p>
    <w:p w14:paraId="0FD5EE78" w14:textId="3A4C1298" w:rsidR="00CE211E" w:rsidRDefault="00AE175D" w:rsidP="00CE211E">
      <w:pPr>
        <w:pStyle w:val="Proposal"/>
      </w:pPr>
      <w:bookmarkStart w:id="28" w:name="_Toc131756585"/>
      <w:r>
        <w:t xml:space="preserve">In an LTM measurement report, measurements on additional </w:t>
      </w:r>
      <w:r w:rsidR="00BC56C2">
        <w:t xml:space="preserve">secondary </w:t>
      </w:r>
      <w:r>
        <w:t>candidates can be included.</w:t>
      </w:r>
      <w:bookmarkEnd w:id="28"/>
    </w:p>
    <w:p w14:paraId="4AFC6BFD" w14:textId="3C7E827F" w:rsidR="00CE211E" w:rsidRDefault="00CE211E" w:rsidP="00B07C72">
      <w:pPr>
        <w:pStyle w:val="BodyText"/>
      </w:pPr>
      <w:r>
        <w:t xml:space="preserve">The </w:t>
      </w:r>
      <w:r w:rsidR="00A428D5">
        <w:t xml:space="preserve">high-level </w:t>
      </w:r>
      <w:r>
        <w:t xml:space="preserve">content of the </w:t>
      </w:r>
      <w:r w:rsidR="00A177EA">
        <w:t xml:space="preserve">LTM </w:t>
      </w:r>
      <w:r>
        <w:t>report is depicted in</w:t>
      </w:r>
      <w:r w:rsidR="00A855D5">
        <w:t xml:space="preserve"> </w:t>
      </w:r>
      <w:r w:rsidR="000E2A16">
        <w:fldChar w:fldCharType="begin"/>
      </w:r>
      <w:r w:rsidR="000E2A16">
        <w:instrText xml:space="preserve"> REF _Ref126826120 \h </w:instrText>
      </w:r>
      <w:r w:rsidR="000E2A16">
        <w:fldChar w:fldCharType="separate"/>
      </w:r>
      <w:r w:rsidR="00837713">
        <w:t xml:space="preserve">Figure </w:t>
      </w:r>
      <w:r w:rsidR="00837713">
        <w:rPr>
          <w:noProof/>
        </w:rPr>
        <w:t>4</w:t>
      </w:r>
      <w:r w:rsidR="000E2A16">
        <w:fldChar w:fldCharType="end"/>
      </w:r>
      <w:r w:rsidR="000E2A16">
        <w:t>.</w:t>
      </w:r>
    </w:p>
    <w:p w14:paraId="18C66E61" w14:textId="4BA478C5" w:rsidR="00CE211E" w:rsidRDefault="00BC55EC" w:rsidP="00A855D5">
      <w:pPr>
        <w:pStyle w:val="BodyText"/>
        <w:jc w:val="center"/>
      </w:pPr>
      <w:r w:rsidRPr="00BC55EC">
        <w:rPr>
          <w:noProof/>
        </w:rPr>
        <w:drawing>
          <wp:inline distT="0" distB="0" distL="0" distR="0" wp14:anchorId="30A0AC5F" wp14:editId="5354D5B0">
            <wp:extent cx="1574800" cy="2329585"/>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5796" cy="2345852"/>
                    </a:xfrm>
                    <a:prstGeom prst="rect">
                      <a:avLst/>
                    </a:prstGeom>
                    <a:noFill/>
                    <a:ln>
                      <a:noFill/>
                    </a:ln>
                  </pic:spPr>
                </pic:pic>
              </a:graphicData>
            </a:graphic>
          </wp:inline>
        </w:drawing>
      </w:r>
    </w:p>
    <w:p w14:paraId="48AA79D1" w14:textId="243C15ED" w:rsidR="00A177EA" w:rsidRDefault="00A855D5" w:rsidP="006F27F6">
      <w:pPr>
        <w:pStyle w:val="Caption"/>
        <w:jc w:val="center"/>
      </w:pPr>
      <w:bookmarkStart w:id="29" w:name="_Ref126826120"/>
      <w:r>
        <w:t xml:space="preserve">Figure </w:t>
      </w:r>
      <w:r>
        <w:fldChar w:fldCharType="begin"/>
      </w:r>
      <w:r>
        <w:instrText xml:space="preserve"> SEQ Figure \* ARABIC </w:instrText>
      </w:r>
      <w:r>
        <w:fldChar w:fldCharType="separate"/>
      </w:r>
      <w:r w:rsidR="00837713">
        <w:rPr>
          <w:noProof/>
        </w:rPr>
        <w:t>4</w:t>
      </w:r>
      <w:r>
        <w:fldChar w:fldCharType="end"/>
      </w:r>
      <w:bookmarkEnd w:id="29"/>
      <w:r>
        <w:t>: High-level content of the LTM measurement report.</w:t>
      </w:r>
    </w:p>
    <w:p w14:paraId="119C64AF" w14:textId="4A1B6BFE" w:rsidR="00415EDE" w:rsidRDefault="00415EDE" w:rsidP="00B07C72">
      <w:pPr>
        <w:pStyle w:val="BodyText"/>
      </w:pPr>
      <w:r>
        <w:t xml:space="preserve">Next, </w:t>
      </w:r>
      <w:r w:rsidR="00A855D5">
        <w:t xml:space="preserve">we </w:t>
      </w:r>
      <w:r>
        <w:t>discuss</w:t>
      </w:r>
      <w:r w:rsidR="00A855D5">
        <w:t xml:space="preserve"> the content of the individual measurement. Each measurement must contain a measurement value, and a</w:t>
      </w:r>
      <w:r>
        <w:t>n identifier, which identifies the reference signal on which the measurement was made. So far, RAN1 has agreed to use L1-RSRP based on SSB as a measurement quantity. From a measurement report format point of view, adding L1-SINR would be straightforward.</w:t>
      </w:r>
      <w:r w:rsidR="00141F53">
        <w:t xml:space="preserve"> We note that L1-RSRQ could also be relevant for inter-frequency measurements.</w:t>
      </w:r>
    </w:p>
    <w:p w14:paraId="6AA4C3B8" w14:textId="4B6CCA1B" w:rsidR="00262EE5" w:rsidRDefault="00415EDE" w:rsidP="00B07C72">
      <w:pPr>
        <w:pStyle w:val="BodyText"/>
      </w:pPr>
      <w:r>
        <w:t xml:space="preserve">The </w:t>
      </w:r>
      <w:r w:rsidR="00141F53">
        <w:t>network</w:t>
      </w:r>
      <w:r>
        <w:t xml:space="preserve"> (serving DU) would use the measurement report to select the target cell, i.e., to select which candidate </w:t>
      </w:r>
      <w:r w:rsidR="000E2A16">
        <w:t xml:space="preserve">configuration to indicate in the cell-switch command. In other words: based on LTM measurement report, the </w:t>
      </w:r>
      <w:r w:rsidR="00141F53">
        <w:t>network</w:t>
      </w:r>
      <w:r w:rsidR="000E2A16">
        <w:t xml:space="preserve"> would send one of the candidate configuration indices.</w:t>
      </w:r>
      <w:r w:rsidR="00262EE5">
        <w:t xml:space="preserve"> Using the candidate configuration indices as an identifier in the report would then seem like a good option:</w:t>
      </w:r>
    </w:p>
    <w:p w14:paraId="37F11A72" w14:textId="38EA516F" w:rsidR="00A177EA" w:rsidRDefault="00262EE5" w:rsidP="00262EE5">
      <w:pPr>
        <w:pStyle w:val="Proposal"/>
      </w:pPr>
      <w:bookmarkStart w:id="30" w:name="_Toc131756586"/>
      <w:r>
        <w:lastRenderedPageBreak/>
        <w:t xml:space="preserve">Use the candidate configuration index as an identifier for the </w:t>
      </w:r>
      <w:r w:rsidR="00BC55EC">
        <w:t xml:space="preserve">primary and secondary </w:t>
      </w:r>
      <w:r>
        <w:t>candidate cell measurement.</w:t>
      </w:r>
      <w:bookmarkEnd w:id="30"/>
    </w:p>
    <w:p w14:paraId="39F35B56" w14:textId="6C087DD7" w:rsidR="004D483E" w:rsidRDefault="00262EE5" w:rsidP="00B07C72">
      <w:pPr>
        <w:pStyle w:val="BodyText"/>
      </w:pPr>
      <w:r>
        <w:t xml:space="preserve">Additionally, the </w:t>
      </w:r>
      <w:r w:rsidR="00141F53">
        <w:t xml:space="preserve">network </w:t>
      </w:r>
      <w:r>
        <w:t xml:space="preserve">(serving DU) will need information to select the beam indication: a candidate cell can send multiple target RSs. The candidate cell measurement must thus also contain an identifier </w:t>
      </w:r>
      <w:r w:rsidRPr="00262EE5">
        <w:rPr>
          <w:i/>
          <w:iCs/>
        </w:rPr>
        <w:t>which</w:t>
      </w:r>
      <w:r>
        <w:t xml:space="preserve"> RS was measured. For the SSB, the SSB index would be that identifier:</w:t>
      </w:r>
    </w:p>
    <w:p w14:paraId="76297261" w14:textId="6C31EDEB" w:rsidR="00262EE5" w:rsidRDefault="00262EE5" w:rsidP="00262EE5">
      <w:pPr>
        <w:pStyle w:val="Proposal"/>
      </w:pPr>
      <w:bookmarkStart w:id="31" w:name="_Toc131756587"/>
      <w:r>
        <w:t xml:space="preserve">An SSB index is included in the </w:t>
      </w:r>
      <w:r w:rsidR="00BC55EC">
        <w:t xml:space="preserve">primary and secondary </w:t>
      </w:r>
      <w:r>
        <w:t>candidate cell</w:t>
      </w:r>
      <w:r w:rsidR="00141F53">
        <w:t xml:space="preserve"> measurement</w:t>
      </w:r>
      <w:r>
        <w:t>.</w:t>
      </w:r>
      <w:bookmarkEnd w:id="31"/>
      <w:r>
        <w:t xml:space="preserve"> </w:t>
      </w:r>
    </w:p>
    <w:p w14:paraId="287963C2" w14:textId="1BE4DDB0" w:rsidR="00BC56C2" w:rsidRDefault="00BC56C2" w:rsidP="00B07C72">
      <w:pPr>
        <w:pStyle w:val="BodyText"/>
      </w:pPr>
      <w:r>
        <w:t xml:space="preserve">The contents of the </w:t>
      </w:r>
      <w:r w:rsidR="00BC55EC">
        <w:t xml:space="preserve">primary and secondary </w:t>
      </w:r>
      <w:r>
        <w:t xml:space="preserve">cell measurement </w:t>
      </w:r>
      <w:r w:rsidR="00BC55EC">
        <w:t>are</w:t>
      </w:r>
      <w:r>
        <w:t xml:space="preserve"> depicted in </w:t>
      </w:r>
      <w:r>
        <w:fldChar w:fldCharType="begin"/>
      </w:r>
      <w:r>
        <w:instrText xml:space="preserve"> REF _Ref126827387 \h </w:instrText>
      </w:r>
      <w:r>
        <w:fldChar w:fldCharType="separate"/>
      </w:r>
      <w:r w:rsidR="00837713">
        <w:t xml:space="preserve">Figure </w:t>
      </w:r>
      <w:r w:rsidR="00837713">
        <w:rPr>
          <w:noProof/>
        </w:rPr>
        <w:t>5</w:t>
      </w:r>
      <w:r>
        <w:fldChar w:fldCharType="end"/>
      </w:r>
      <w:r>
        <w:t xml:space="preserve">. </w:t>
      </w:r>
    </w:p>
    <w:p w14:paraId="464239B6" w14:textId="6634C8AA" w:rsidR="00BC56C2" w:rsidRDefault="00BC56C2" w:rsidP="00BC56C2">
      <w:pPr>
        <w:pStyle w:val="BodyText"/>
        <w:jc w:val="center"/>
      </w:pPr>
      <w:r w:rsidRPr="00BC56C2">
        <w:rPr>
          <w:noProof/>
        </w:rPr>
        <w:drawing>
          <wp:inline distT="0" distB="0" distL="0" distR="0" wp14:anchorId="496786AE" wp14:editId="4C567339">
            <wp:extent cx="1774555" cy="1606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6029" cy="1616938"/>
                    </a:xfrm>
                    <a:prstGeom prst="rect">
                      <a:avLst/>
                    </a:prstGeom>
                    <a:noFill/>
                    <a:ln>
                      <a:noFill/>
                    </a:ln>
                  </pic:spPr>
                </pic:pic>
              </a:graphicData>
            </a:graphic>
          </wp:inline>
        </w:drawing>
      </w:r>
    </w:p>
    <w:p w14:paraId="6898C0AF" w14:textId="05A02858" w:rsidR="00BC56C2" w:rsidRDefault="00BC56C2" w:rsidP="00BC56C2">
      <w:pPr>
        <w:pStyle w:val="Caption"/>
        <w:jc w:val="center"/>
      </w:pPr>
      <w:bookmarkStart w:id="32" w:name="_Ref126827387"/>
      <w:r>
        <w:t xml:space="preserve">Figure </w:t>
      </w:r>
      <w:r>
        <w:fldChar w:fldCharType="begin"/>
      </w:r>
      <w:r>
        <w:instrText xml:space="preserve"> SEQ Figure \* ARABIC </w:instrText>
      </w:r>
      <w:r>
        <w:fldChar w:fldCharType="separate"/>
      </w:r>
      <w:r w:rsidR="00837713">
        <w:rPr>
          <w:noProof/>
        </w:rPr>
        <w:t>5</w:t>
      </w:r>
      <w:r>
        <w:fldChar w:fldCharType="end"/>
      </w:r>
      <w:bookmarkEnd w:id="32"/>
      <w:r>
        <w:t>: The content of a candidate cell measurement.</w:t>
      </w:r>
    </w:p>
    <w:p w14:paraId="032F2E3D" w14:textId="43B6E41B" w:rsidR="00BC56C2" w:rsidRDefault="00BC55EC" w:rsidP="00B07C72">
      <w:pPr>
        <w:pStyle w:val="BodyText"/>
      </w:pPr>
      <w:r>
        <w:t>Assuming that the primary candidate cell measurement is the cell with the highest measurement value, the measurement value for the secondary candidate</w:t>
      </w:r>
      <w:r w:rsidR="00A843E1">
        <w:t xml:space="preserve"> cell measurement</w:t>
      </w:r>
      <w:r>
        <w:t>s can be differentially encoded, just as for the beam reports.</w:t>
      </w:r>
    </w:p>
    <w:p w14:paraId="77F3EBD2" w14:textId="39FC422B" w:rsidR="00BC56C2" w:rsidRDefault="00A843E1" w:rsidP="00B07C72">
      <w:pPr>
        <w:pStyle w:val="BodyText"/>
      </w:pPr>
      <w:r>
        <w:t xml:space="preserve">One consequence of the RAN1 agreement to rely on UCI over PUSCH for the LTM reporting is that the protection of the LTM measurement needs extra attention. In contrast to reporting over MAC CE, there is no retransmission mechanism available for UCI: an incorrect report can only be dropped. Even worse: for some UCI payloads, there is not even a CRC attached to the UCI. This is highly undesirable for an LTM measurement report: it must be possible to detect that an LTM measurement report was incorrectly decoded. </w:t>
      </w:r>
      <w:r w:rsidR="004B57EE">
        <w:t>The simplest way to ensure this is that the payload is always larger than 11 bits:</w:t>
      </w:r>
    </w:p>
    <w:p w14:paraId="1D832F49" w14:textId="793D2DB0" w:rsidR="004B57EE" w:rsidRDefault="004B57EE" w:rsidP="004B57EE">
      <w:pPr>
        <w:pStyle w:val="Proposal"/>
      </w:pPr>
      <w:bookmarkStart w:id="33" w:name="_Toc131756588"/>
      <w:r>
        <w:t xml:space="preserve">All LTM reports are zero-padded to ensure that the payload is always </w:t>
      </w:r>
      <w:r w:rsidR="00B925DF">
        <w:t>12</w:t>
      </w:r>
      <w:r>
        <w:t xml:space="preserve"> bits</w:t>
      </w:r>
      <w:r w:rsidR="00B925DF">
        <w:t xml:space="preserve"> or larger</w:t>
      </w:r>
      <w:r>
        <w:t>.</w:t>
      </w:r>
      <w:bookmarkEnd w:id="33"/>
    </w:p>
    <w:p w14:paraId="39B0712A" w14:textId="5ADB07FA" w:rsidR="00BC55EC" w:rsidRDefault="004B57EE" w:rsidP="00B07C72">
      <w:pPr>
        <w:pStyle w:val="BodyText"/>
      </w:pPr>
      <w:r>
        <w:t>If we define a part 1/part 2 structure for the LTM reports, each part must be zero-padded</w:t>
      </w:r>
      <w:r w:rsidR="00B925DF">
        <w:t xml:space="preserve"> to ensure that each part is larger than 11 bits</w:t>
      </w:r>
      <w:r>
        <w:t>.</w:t>
      </w:r>
    </w:p>
    <w:p w14:paraId="22FF20C4" w14:textId="51554F47" w:rsidR="00EA6A96" w:rsidRDefault="006479F3" w:rsidP="00B07C72">
      <w:pPr>
        <w:pStyle w:val="BodyText"/>
      </w:pPr>
      <w:r>
        <w:t>With the low</w:t>
      </w:r>
      <w:r w:rsidR="00616997">
        <w:t>er</w:t>
      </w:r>
      <w:r>
        <w:t xml:space="preserve"> flexibility of the UCI reporting, </w:t>
      </w:r>
      <w:r w:rsidR="00616997">
        <w:t xml:space="preserve">a higher degree of </w:t>
      </w:r>
      <w:r>
        <w:t>pre-configuration of measurement targets become</w:t>
      </w:r>
      <w:r w:rsidR="00616997">
        <w:t>s</w:t>
      </w:r>
      <w:r>
        <w:t xml:space="preserve"> necessary.</w:t>
      </w:r>
      <w:r w:rsidR="00E32BC9">
        <w:t xml:space="preserve"> </w:t>
      </w:r>
      <w:r w:rsidR="00EA6A96">
        <w:t>In RAN1#112, RAN1 made the following agreement:</w:t>
      </w:r>
    </w:p>
    <w:p w14:paraId="50CF2B3D" w14:textId="1496E4F7" w:rsidR="00EA6A96" w:rsidRDefault="00EA6A96" w:rsidP="00B07C72">
      <w:pPr>
        <w:pStyle w:val="BodyText"/>
      </w:pPr>
      <w:r>
        <w:rPr>
          <w:noProof/>
        </w:rPr>
        <mc:AlternateContent>
          <mc:Choice Requires="wps">
            <w:drawing>
              <wp:inline distT="0" distB="0" distL="0" distR="0" wp14:anchorId="7BDA9A1D" wp14:editId="62BA13A7">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1745A43" w14:textId="77777777" w:rsidR="00EA6A96" w:rsidRDefault="00EA6A96" w:rsidP="00EA6A96">
                            <w:pPr>
                              <w:rPr>
                                <w:rFonts w:ascii="Times" w:eastAsia="MS Mincho" w:hAnsi="Times" w:cs="Times"/>
                                <w:szCs w:val="20"/>
                                <w:highlight w:val="green"/>
                                <w:lang w:val="en-GB" w:eastAsia="ja-JP"/>
                              </w:rPr>
                            </w:pPr>
                            <w:r>
                              <w:rPr>
                                <w:rFonts w:ascii="Times" w:hAnsi="Times" w:cs="Times"/>
                                <w:szCs w:val="20"/>
                                <w:highlight w:val="green"/>
                              </w:rPr>
                              <w:t>Agreement</w:t>
                            </w:r>
                          </w:p>
                          <w:p w14:paraId="47B7A324" w14:textId="77777777" w:rsidR="00EA6A96" w:rsidRDefault="00EA6A96" w:rsidP="00EA6A96">
                            <w:pPr>
                              <w:pStyle w:val="ListParagraph"/>
                              <w:numPr>
                                <w:ilvl w:val="0"/>
                                <w:numId w:val="42"/>
                              </w:numPr>
                              <w:snapToGrid w:val="0"/>
                              <w:spacing w:line="240" w:lineRule="auto"/>
                              <w:ind w:hanging="357"/>
                              <w:jc w:val="both"/>
                              <w:rPr>
                                <w:rFonts w:ascii="Times" w:hAnsi="Times" w:cs="Times"/>
                                <w:sz w:val="20"/>
                                <w:szCs w:val="20"/>
                                <w:lang w:eastAsia="en-GB"/>
                              </w:rPr>
                            </w:pPr>
                            <w:r>
                              <w:rPr>
                                <w:rFonts w:ascii="Times" w:hAnsi="Times" w:cs="Times"/>
                                <w:sz w:val="20"/>
                                <w:szCs w:val="20"/>
                              </w:rPr>
                              <w:t>For L1-RSRP measurement RS configuration</w:t>
                            </w:r>
                          </w:p>
                          <w:p w14:paraId="6AFA7E02" w14:textId="77777777" w:rsid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For SSB based L1-RSRP measurement:</w:t>
                            </w:r>
                          </w:p>
                          <w:p w14:paraId="26C0FC14"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As a starting point, at least the following information needs to be provided to a UE, e.g.</w:t>
                            </w:r>
                          </w:p>
                          <w:p w14:paraId="54934DBA"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intra- and inter- frequency: PCI or logical ID (e.g., as being defined in R17 ICBM), time domain (e.g. SMTC or periodicity and SSB position in burst) </w:t>
                            </w:r>
                          </w:p>
                          <w:p w14:paraId="3219B6D5"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For inter-frequency: frequency domain location (e.g. center frequency), SCS</w:t>
                            </w:r>
                          </w:p>
                          <w:p w14:paraId="1F87D030"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FFS: transmission power (for pathloss calculation)</w:t>
                            </w:r>
                          </w:p>
                          <w:p w14:paraId="384A8DDD"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Note: other parameters included in the configuration can be further discussed</w:t>
                            </w:r>
                          </w:p>
                          <w:p w14:paraId="1F313B9E"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eastAsia="DengXian" w:hAnsi="Times" w:cs="Times"/>
                                <w:sz w:val="20"/>
                                <w:szCs w:val="20"/>
                                <w:lang w:eastAsia="zh-CN"/>
                              </w:rPr>
                              <w:t>Including above agreement into the LS</w:t>
                            </w:r>
                          </w:p>
                          <w:p w14:paraId="1E6B4731" w14:textId="4C3066D6" w:rsidR="00EA6A96" w:rsidRP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 xml:space="preserve">The detailed design of RRC structure is up to RAN2, and send an LS to RAN2 to request to work on the RRC structure design on the measurement configuration. </w:t>
                            </w:r>
                            <w:r w:rsidRPr="00EA6A96">
                              <w:rPr>
                                <w:rFonts w:ascii="Times" w:hAnsi="Times" w:cs="Times"/>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DA9A1D" id="Text Box 3"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61745A43" w14:textId="77777777" w:rsidR="00EA6A96" w:rsidRDefault="00EA6A96" w:rsidP="00EA6A96">
                      <w:pPr>
                        <w:rPr>
                          <w:rFonts w:ascii="Times" w:eastAsia="MS Mincho" w:hAnsi="Times" w:cs="Times"/>
                          <w:szCs w:val="20"/>
                          <w:highlight w:val="green"/>
                          <w:lang w:val="en-GB" w:eastAsia="ja-JP"/>
                        </w:rPr>
                      </w:pPr>
                      <w:r>
                        <w:rPr>
                          <w:rFonts w:ascii="Times" w:hAnsi="Times" w:cs="Times"/>
                          <w:szCs w:val="20"/>
                          <w:highlight w:val="green"/>
                        </w:rPr>
                        <w:t>Agreement</w:t>
                      </w:r>
                    </w:p>
                    <w:p w14:paraId="47B7A324" w14:textId="77777777" w:rsidR="00EA6A96" w:rsidRDefault="00EA6A96" w:rsidP="00EA6A96">
                      <w:pPr>
                        <w:pStyle w:val="ListParagraph"/>
                        <w:numPr>
                          <w:ilvl w:val="0"/>
                          <w:numId w:val="42"/>
                        </w:numPr>
                        <w:snapToGrid w:val="0"/>
                        <w:spacing w:line="240" w:lineRule="auto"/>
                        <w:ind w:hanging="357"/>
                        <w:jc w:val="both"/>
                        <w:rPr>
                          <w:rFonts w:ascii="Times" w:hAnsi="Times" w:cs="Times"/>
                          <w:sz w:val="20"/>
                          <w:szCs w:val="20"/>
                          <w:lang w:eastAsia="en-GB"/>
                        </w:rPr>
                      </w:pPr>
                      <w:r>
                        <w:rPr>
                          <w:rFonts w:ascii="Times" w:hAnsi="Times" w:cs="Times"/>
                          <w:sz w:val="20"/>
                          <w:szCs w:val="20"/>
                        </w:rPr>
                        <w:t>For L1-RSRP measurement RS configuration</w:t>
                      </w:r>
                    </w:p>
                    <w:p w14:paraId="6AFA7E02" w14:textId="77777777" w:rsid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For SSB based L1-RSRP measurement:</w:t>
                      </w:r>
                    </w:p>
                    <w:p w14:paraId="26C0FC14"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As a starting point, at least the following information needs to be provided to a UE, e.g.</w:t>
                      </w:r>
                    </w:p>
                    <w:p w14:paraId="54934DBA"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 xml:space="preserve">For intra- and inter- frequency: PCI or logical ID (e.g., as being defined in R17 ICBM), time domain (e.g. SMTC or periodicity and SSB position in burst) </w:t>
                      </w:r>
                    </w:p>
                    <w:p w14:paraId="3219B6D5"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For inter-frequency: frequency domain location (e.g. center frequency), SCS</w:t>
                      </w:r>
                    </w:p>
                    <w:p w14:paraId="1F87D030" w14:textId="77777777" w:rsidR="00EA6A96" w:rsidRDefault="00EA6A96" w:rsidP="00EA6A96">
                      <w:pPr>
                        <w:pStyle w:val="ListParagraph"/>
                        <w:numPr>
                          <w:ilvl w:val="3"/>
                          <w:numId w:val="43"/>
                        </w:numPr>
                        <w:snapToGrid w:val="0"/>
                        <w:spacing w:line="240" w:lineRule="auto"/>
                        <w:jc w:val="both"/>
                        <w:rPr>
                          <w:rFonts w:ascii="Times" w:hAnsi="Times" w:cs="Times"/>
                          <w:sz w:val="20"/>
                          <w:szCs w:val="20"/>
                        </w:rPr>
                      </w:pPr>
                      <w:r>
                        <w:rPr>
                          <w:rFonts w:ascii="Times" w:hAnsi="Times" w:cs="Times"/>
                          <w:sz w:val="20"/>
                          <w:szCs w:val="20"/>
                        </w:rPr>
                        <w:t>FFS: transmission power (for pathloss calculation)</w:t>
                      </w:r>
                    </w:p>
                    <w:p w14:paraId="384A8DDD"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hAnsi="Times" w:cs="Times"/>
                          <w:sz w:val="20"/>
                          <w:szCs w:val="20"/>
                        </w:rPr>
                        <w:t>Note: other parameters included in the configuration can be further discussed</w:t>
                      </w:r>
                    </w:p>
                    <w:p w14:paraId="1F313B9E" w14:textId="77777777" w:rsidR="00EA6A96" w:rsidRDefault="00EA6A96" w:rsidP="00EA6A96">
                      <w:pPr>
                        <w:pStyle w:val="ListParagraph"/>
                        <w:numPr>
                          <w:ilvl w:val="2"/>
                          <w:numId w:val="43"/>
                        </w:numPr>
                        <w:snapToGrid w:val="0"/>
                        <w:spacing w:line="240" w:lineRule="auto"/>
                        <w:jc w:val="both"/>
                        <w:rPr>
                          <w:rFonts w:ascii="Times" w:hAnsi="Times" w:cs="Times"/>
                          <w:sz w:val="20"/>
                          <w:szCs w:val="20"/>
                        </w:rPr>
                      </w:pPr>
                      <w:r>
                        <w:rPr>
                          <w:rFonts w:ascii="Times" w:eastAsia="DengXian" w:hAnsi="Times" w:cs="Times"/>
                          <w:sz w:val="20"/>
                          <w:szCs w:val="20"/>
                          <w:lang w:eastAsia="zh-CN"/>
                        </w:rPr>
                        <w:t>Including above agreement into the LS</w:t>
                      </w:r>
                    </w:p>
                    <w:p w14:paraId="1E6B4731" w14:textId="4C3066D6" w:rsidR="00EA6A96" w:rsidRPr="00EA6A96" w:rsidRDefault="00EA6A96" w:rsidP="00EA6A96">
                      <w:pPr>
                        <w:pStyle w:val="ListParagraph"/>
                        <w:numPr>
                          <w:ilvl w:val="1"/>
                          <w:numId w:val="43"/>
                        </w:numPr>
                        <w:snapToGrid w:val="0"/>
                        <w:spacing w:line="240" w:lineRule="auto"/>
                        <w:ind w:left="1077" w:hanging="357"/>
                        <w:jc w:val="both"/>
                        <w:rPr>
                          <w:rFonts w:ascii="Times" w:hAnsi="Times" w:cs="Times"/>
                          <w:sz w:val="20"/>
                          <w:szCs w:val="20"/>
                        </w:rPr>
                      </w:pPr>
                      <w:r>
                        <w:rPr>
                          <w:rFonts w:ascii="Times" w:hAnsi="Times" w:cs="Times"/>
                          <w:sz w:val="20"/>
                          <w:szCs w:val="20"/>
                        </w:rPr>
                        <w:t xml:space="preserve">The detailed design of RRC structure is up to RAN2, and send an LS to RAN2 to request to work on the RRC structure design on the measurement configuration. </w:t>
                      </w:r>
                      <w:r w:rsidRPr="00EA6A96">
                        <w:rPr>
                          <w:rFonts w:ascii="Times" w:hAnsi="Times" w:cs="Times"/>
                          <w:szCs w:val="20"/>
                        </w:rPr>
                        <w:t xml:space="preserve"> </w:t>
                      </w:r>
                    </w:p>
                  </w:txbxContent>
                </v:textbox>
                <w10:anchorlock/>
              </v:shape>
            </w:pict>
          </mc:Fallback>
        </mc:AlternateContent>
      </w:r>
    </w:p>
    <w:p w14:paraId="6D6D4A7C" w14:textId="77E2D2AE" w:rsidR="00EA6A96" w:rsidRDefault="00EA6A96" w:rsidP="00B07C72">
      <w:pPr>
        <w:pStyle w:val="BodyText"/>
      </w:pPr>
      <w:r>
        <w:t>The agreement leaves many of the design details to RAN2</w:t>
      </w:r>
      <w:r w:rsidR="00323D7E">
        <w:t>, and h</w:t>
      </w:r>
      <w:r>
        <w:t xml:space="preserve">opefully, RAN2 can design the configuration based on these details. </w:t>
      </w:r>
      <w:r w:rsidR="00323D7E">
        <w:t>Alternatively, RAN1 could clarify a few details:</w:t>
      </w:r>
    </w:p>
    <w:p w14:paraId="6E97F01C" w14:textId="77777777" w:rsidR="00323D7E" w:rsidRDefault="00323D7E" w:rsidP="00323D7E">
      <w:pPr>
        <w:pStyle w:val="ListBullet"/>
      </w:pPr>
      <w:r>
        <w:t xml:space="preserve">If the UE is provided a logical ID to identify a measurement target, the UE would have to map that to a PCI, and the mapping between the logical ID and the PCI must also be provided to the UE. In </w:t>
      </w:r>
      <w:r>
        <w:lastRenderedPageBreak/>
        <w:t>other words, the UE must be provided a PCI identifying the measurement target one way or another. To clarify the agreement, the logical ID could be removed.</w:t>
      </w:r>
    </w:p>
    <w:p w14:paraId="53B95C10" w14:textId="40B44A7A" w:rsidR="00323D7E" w:rsidRDefault="00323D7E" w:rsidP="00323D7E">
      <w:pPr>
        <w:pStyle w:val="ListBullet"/>
      </w:pPr>
      <w:r>
        <w:t xml:space="preserve">As we are designing inter-cell measurements, it would seem appropriate to rely on the same configuration parameters as for L3 measurements. This would mean that we use the SMTC window, and potentially also </w:t>
      </w:r>
      <w:r w:rsidR="009C1D8C" w:rsidRPr="009C1D8C">
        <w:rPr>
          <w:i/>
          <w:iCs/>
        </w:rPr>
        <w:t>ssb-ToMeasure</w:t>
      </w:r>
      <w:r w:rsidR="009C1D8C">
        <w:t xml:space="preserve"> and </w:t>
      </w:r>
      <w:r w:rsidR="009C1D8C" w:rsidRPr="009C1D8C">
        <w:rPr>
          <w:i/>
          <w:iCs/>
        </w:rPr>
        <w:t>deriveSSB-IndexFromCell</w:t>
      </w:r>
      <w:r w:rsidR="009C1D8C">
        <w:rPr>
          <w:i/>
          <w:iCs/>
        </w:rPr>
        <w:t xml:space="preserve">. </w:t>
      </w:r>
      <w:r w:rsidR="009C1D8C">
        <w:t>Periodicity and SSB position in burst seem less appropriate.</w:t>
      </w:r>
    </w:p>
    <w:p w14:paraId="030C594E" w14:textId="07ABB6F1" w:rsidR="0045565E" w:rsidRDefault="0045565E" w:rsidP="00B07C72">
      <w:pPr>
        <w:pStyle w:val="BodyText"/>
      </w:pPr>
      <w:r>
        <w:t>In RAN1#111, the following agreement was made</w:t>
      </w:r>
    </w:p>
    <w:p w14:paraId="42A5F747" w14:textId="4EB25D17" w:rsidR="0045565E" w:rsidRDefault="0045565E" w:rsidP="00B07C72">
      <w:pPr>
        <w:pStyle w:val="BodyText"/>
      </w:pPr>
      <w:r>
        <w:rPr>
          <w:noProof/>
        </w:rPr>
        <mc:AlternateContent>
          <mc:Choice Requires="wps">
            <w:drawing>
              <wp:inline distT="0" distB="0" distL="0" distR="0" wp14:anchorId="2BAA0AEE" wp14:editId="0CA75DFC">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E90620A" w14:textId="77777777" w:rsidR="0045565E" w:rsidRPr="00386A91" w:rsidRDefault="0045565E" w:rsidP="006C36C5">
                            <w:pPr>
                              <w:keepNext/>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6C36C5">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AA0AEE" id="Text Box 20" o:spid="_x0000_s1032"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eQG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Ap942UJxRLosdEpyhq8kwq+Z88/MonSQIVwH/4RHqQBrgt6ipAL762/3IR8n&#10;ilFKGpRiTt3PPbOCEvVN46zvhuNx0G50xpObETr2OrK9juh9vQQkaoiLZ3g0Q75XJ7O0UL/i1izC&#10;qxhimuPbOfUnc+m7BcGt42KxiEmoVsP8Wm8MD9BhMIHWl/aVWdOP1aMgHuEkWpa9m26XG0dqFnsP&#10;KxlHH3juWO3pR6VH8fRbGVbp2o9Zl/+O+W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fN5AY7AgAAgwQAAA4AAAAAAAAA&#10;AAAAAAAALgIAAGRycy9lMm9Eb2MueG1sUEsBAi0AFAAGAAgAAAAhADlau0TcAAAABQEAAA8AAAAA&#10;AAAAAAAAAAAAlQQAAGRycy9kb3ducmV2LnhtbFBLBQYAAAAABAAEAPMAAACeBQAAAAA=&#10;" fillcolor="white [3201]" strokeweight=".5pt">
                <v:textbox style="mso-fit-shape-to-text:t">
                  <w:txbxContent>
                    <w:p w14:paraId="0E90620A" w14:textId="77777777" w:rsidR="0045565E" w:rsidRPr="00386A91" w:rsidRDefault="0045565E" w:rsidP="006C36C5">
                      <w:pPr>
                        <w:keepNext/>
                        <w:spacing w:after="0"/>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540DC76A" w14:textId="77777777" w:rsidR="0045565E" w:rsidRPr="00386A91" w:rsidRDefault="0045565E" w:rsidP="006C36C5">
                      <w:pPr>
                        <w:pStyle w:val="ListParagraph"/>
                        <w:numPr>
                          <w:ilvl w:val="0"/>
                          <w:numId w:val="39"/>
                        </w:numPr>
                        <w:snapToGrid w:val="0"/>
                        <w:spacing w:line="240" w:lineRule="auto"/>
                        <w:jc w:val="both"/>
                        <w:rPr>
                          <w:rFonts w:ascii="Times" w:hAnsi="Times" w:cs="Times"/>
                          <w:sz w:val="20"/>
                          <w:szCs w:val="20"/>
                        </w:rPr>
                      </w:pPr>
                      <w:r w:rsidRPr="00386A91">
                        <w:rPr>
                          <w:rFonts w:ascii="Times" w:hAnsi="Times" w:cs="Times"/>
                          <w:sz w:val="20"/>
                          <w:szCs w:val="20"/>
                        </w:rPr>
                        <w:t xml:space="preserve">For candidate cell measurement for Rel-18 LTM, </w:t>
                      </w:r>
                    </w:p>
                    <w:p w14:paraId="2FA806AC"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intra-frequency measurement</w:t>
                      </w:r>
                    </w:p>
                    <w:p w14:paraId="5C14D42B" w14:textId="77777777" w:rsidR="0045565E" w:rsidRPr="00386A91"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SSB based L1-RSRP is supported for inter-frequency measurement</w:t>
                      </w:r>
                      <w:r w:rsidRPr="005C049D">
                        <w:rPr>
                          <w:rFonts w:ascii="Times" w:hAnsi="Times" w:cs="Times"/>
                          <w:sz w:val="20"/>
                          <w:szCs w:val="20"/>
                          <w:lang w:eastAsia="x-none"/>
                        </w:rPr>
                        <w:t xml:space="preserve"> from RAN1 point of view</w:t>
                      </w:r>
                    </w:p>
                    <w:p w14:paraId="740C2E70" w14:textId="760452FF" w:rsidR="0045565E" w:rsidRPr="0045565E" w:rsidRDefault="0045565E" w:rsidP="006C36C5">
                      <w:pPr>
                        <w:pStyle w:val="ListParagraph"/>
                        <w:numPr>
                          <w:ilvl w:val="1"/>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FFS: L1-SINR, CSI-RS based L1-RSRP</w:t>
                      </w:r>
                    </w:p>
                  </w:txbxContent>
                </v:textbox>
                <w10:anchorlock/>
              </v:shape>
            </w:pict>
          </mc:Fallback>
        </mc:AlternateContent>
      </w:r>
    </w:p>
    <w:p w14:paraId="33829E7D" w14:textId="77777777" w:rsidR="009C1D8C" w:rsidRDefault="0045565E" w:rsidP="00B07C72">
      <w:pPr>
        <w:pStyle w:val="BodyText"/>
      </w:pPr>
      <w:r>
        <w:t>Hence, RAN1 has so far only agreed reporting of L1-RSRP for SSB</w:t>
      </w:r>
      <w:r w:rsidR="00926AEE">
        <w:t>, for intra</w:t>
      </w:r>
      <w:r w:rsidR="005D0298">
        <w:t>-frequency</w:t>
      </w:r>
      <w:r w:rsidR="00926AEE">
        <w:t xml:space="preserve"> and inter-</w:t>
      </w:r>
      <w:r w:rsidR="005D0298">
        <w:t>frequency</w:t>
      </w:r>
      <w:r>
        <w:t xml:space="preserve">. </w:t>
      </w:r>
    </w:p>
    <w:p w14:paraId="71681800" w14:textId="69D0D459" w:rsidR="00D80C0D" w:rsidRDefault="00D64825" w:rsidP="00B07C72">
      <w:pPr>
        <w:pStyle w:val="BodyText"/>
      </w:pPr>
      <w:r>
        <w:t xml:space="preserve">If additional measurement possibilities are introduced, the configuration overhead grows. For example, </w:t>
      </w:r>
      <w:r w:rsidR="00A13A3B">
        <w:t xml:space="preserve">the CSI-RS configuration is quite flexible, resulting in a much larger overhead. </w:t>
      </w:r>
      <w:r w:rsidR="00F97642">
        <w:t>Based on this, our preference is not to support CSI-RS as a measurement target for LTM</w:t>
      </w:r>
      <w:r w:rsidR="009C1D8C">
        <w:t xml:space="preserve"> In Rel-18</w:t>
      </w:r>
      <w:r w:rsidR="000070A9">
        <w:t>:</w:t>
      </w:r>
    </w:p>
    <w:p w14:paraId="1001CB3C" w14:textId="131853DB" w:rsidR="000070A9" w:rsidRDefault="000070A9" w:rsidP="000070A9">
      <w:pPr>
        <w:pStyle w:val="Proposal"/>
      </w:pPr>
      <w:bookmarkStart w:id="34" w:name="_Toc131756589"/>
      <w:r>
        <w:t>Do not support CSI-RS as a measurement target for LTM.</w:t>
      </w:r>
      <w:bookmarkEnd w:id="34"/>
    </w:p>
    <w:p w14:paraId="4B74BB49" w14:textId="4276EDC4" w:rsidR="001D0514" w:rsidRDefault="004A29CA" w:rsidP="001D0514">
      <w:pPr>
        <w:pStyle w:val="BodyText"/>
      </w:pPr>
      <w:r>
        <w:t>Event-driven reporting was discussed during RAN1#11</w:t>
      </w:r>
      <w:r w:rsidR="009975EA">
        <w:t>1</w:t>
      </w:r>
      <w:r w:rsidR="006F27F6">
        <w:t>.</w:t>
      </w:r>
      <w:r>
        <w:t xml:space="preserve"> </w:t>
      </w:r>
      <w:r w:rsidR="001D0514">
        <w:t xml:space="preserve">It is often claimed that event-driven measurements have lower latency than </w:t>
      </w:r>
      <w:r w:rsidR="007B3768">
        <w:t>network</w:t>
      </w:r>
      <w:r w:rsidR="001D0514">
        <w:t xml:space="preserve">-triggered measurements. This is incorrect: event-driven reporting does not reduce latency, since the latency is determined by the UL transmission time, which is typically larger for event-driven reporting than for </w:t>
      </w:r>
      <w:r w:rsidR="007B3768">
        <w:t>network</w:t>
      </w:r>
      <w:r w:rsidR="001D0514">
        <w:t>-initiated reporting:</w:t>
      </w:r>
    </w:p>
    <w:p w14:paraId="5841BCCE" w14:textId="1C859148" w:rsidR="001D0514" w:rsidRDefault="001D0514" w:rsidP="001D0514">
      <w:pPr>
        <w:pStyle w:val="Observation"/>
      </w:pPr>
      <w:bookmarkStart w:id="35" w:name="_Toc131756572"/>
      <w:r>
        <w:t xml:space="preserve">The latency of event-driven reporting is typically larger than the latency of </w:t>
      </w:r>
      <w:r w:rsidR="007B3768">
        <w:t>network</w:t>
      </w:r>
      <w:r>
        <w:t>-initiated reporting.</w:t>
      </w:r>
      <w:bookmarkEnd w:id="35"/>
    </w:p>
    <w:p w14:paraId="6CF50A24" w14:textId="77777777" w:rsidR="001D0514" w:rsidRDefault="001D0514" w:rsidP="001D0514">
      <w:pPr>
        <w:pStyle w:val="BodyText"/>
      </w:pPr>
      <w:r>
        <w:t>Instead, the benefits of event-driven reporting lie in lower reporting overhead. The report is only sent in the UL when certain conditions are fulfilled, i.e., when the event is triggered:</w:t>
      </w:r>
    </w:p>
    <w:p w14:paraId="0F930915" w14:textId="1F69778D" w:rsidR="001D0514" w:rsidRDefault="001D0514" w:rsidP="001D0514">
      <w:pPr>
        <w:pStyle w:val="Observation"/>
      </w:pPr>
      <w:bookmarkStart w:id="36" w:name="_Toc131756573"/>
      <w:r>
        <w:t xml:space="preserve">Provided that the event is properly designed, the reporting overhead of event-driven reporting can be lower than </w:t>
      </w:r>
      <w:r w:rsidR="007B3768">
        <w:t>network</w:t>
      </w:r>
      <w:r>
        <w:t>-initiated reporting.</w:t>
      </w:r>
      <w:bookmarkEnd w:id="36"/>
    </w:p>
    <w:p w14:paraId="16D023CD" w14:textId="44ABC803" w:rsidR="001D0514" w:rsidRDefault="001D0514" w:rsidP="001D0514">
      <w:pPr>
        <w:pStyle w:val="BodyText"/>
      </w:pPr>
      <w:r>
        <w:t xml:space="preserve">Reducing reporting overhead can be important: if only periodic reporting is used, it is likely that the </w:t>
      </w:r>
      <w:r w:rsidR="007B3768">
        <w:t xml:space="preserve">network </w:t>
      </w:r>
      <w:r>
        <w:t xml:space="preserve">would need one report from each UE every 40ms, and it is not clear that the </w:t>
      </w:r>
      <w:r w:rsidR="007B3768">
        <w:t>network</w:t>
      </w:r>
      <w:r>
        <w:t xml:space="preserve"> can handle that load. </w:t>
      </w:r>
    </w:p>
    <w:p w14:paraId="49C02DA4" w14:textId="77777777" w:rsidR="009C1D8C" w:rsidRDefault="003C587F" w:rsidP="008019FB">
      <w:pPr>
        <w:pStyle w:val="BodyText"/>
      </w:pPr>
      <w:r>
        <w:t xml:space="preserve">Event-driven reporting would require that RAN1 defines events, which RAN1 has never done (apart from the RLM out-of-sync indications). Definitions of events would be further complicated by the fact that RAN1 specifications are state-less: RLM indications are counted in RRC, and beam failure indications in MAC. </w:t>
      </w:r>
    </w:p>
    <w:p w14:paraId="60EEB4D4" w14:textId="58090C3C" w:rsidR="009C1D8C" w:rsidRDefault="009C1D8C" w:rsidP="008019FB">
      <w:pPr>
        <w:pStyle w:val="BodyText"/>
      </w:pPr>
      <w:r>
        <w:t>The events designed for L3 mobility is quite general, and has required quite some specification effort in RAN2, already for 3G. The solution was then inherited in 4G, and somewhat extended in 5G. Here we would like to highlight one issue that makes the RAN2 event handling different from the events defined in RAN1:</w:t>
      </w:r>
      <w:r w:rsidR="00332F1B">
        <w:t xml:space="preserve"> the necessity of parallel events. </w:t>
      </w:r>
    </w:p>
    <w:p w14:paraId="6AD969E8" w14:textId="65524F06" w:rsidR="003C587F" w:rsidRDefault="003C587F" w:rsidP="008019FB">
      <w:pPr>
        <w:pStyle w:val="BodyText"/>
      </w:pPr>
      <w:r>
        <w:t>The mere introduction of events is thus quite complicated.</w:t>
      </w:r>
      <w:r w:rsidR="006C36C5">
        <w:t xml:space="preserve"> </w:t>
      </w:r>
      <w:r>
        <w:t xml:space="preserve">Based on </w:t>
      </w:r>
      <w:r w:rsidR="007B3768">
        <w:t xml:space="preserve">the complexity of defining events, and the need to </w:t>
      </w:r>
      <w:r w:rsidR="00332F1B">
        <w:t>also specify</w:t>
      </w:r>
      <w:r w:rsidR="007B3768">
        <w:t xml:space="preserve"> a MAC CE reporting format, we propose</w:t>
      </w:r>
    </w:p>
    <w:p w14:paraId="111993D5" w14:textId="417FC80B" w:rsidR="003C587F" w:rsidRDefault="003C587F" w:rsidP="003C587F">
      <w:pPr>
        <w:pStyle w:val="Proposal"/>
      </w:pPr>
      <w:bookmarkStart w:id="37" w:name="_Toc131756590"/>
      <w:r>
        <w:t>Event-driven LTM reporting is not specified in Rel-18.</w:t>
      </w:r>
      <w:bookmarkEnd w:id="37"/>
    </w:p>
    <w:p w14:paraId="5E2A3386" w14:textId="54748B57" w:rsidR="00397F9B" w:rsidRDefault="00397F9B" w:rsidP="00397F9B">
      <w:pPr>
        <w:pStyle w:val="BodyText"/>
      </w:pPr>
      <w:r>
        <w:t>As remarked above, there are benefits of event-driven reporting, and it would be relevant to consider such improvements for Rel-19.</w:t>
      </w:r>
    </w:p>
    <w:p w14:paraId="758356EB" w14:textId="33666345" w:rsidR="009F3F92" w:rsidRPr="00F50626" w:rsidRDefault="009F3F92" w:rsidP="006B7E4B">
      <w:pPr>
        <w:pStyle w:val="Heading2"/>
      </w:pPr>
      <w:r w:rsidRPr="00F50626">
        <w:t>2.</w:t>
      </w:r>
      <w:r w:rsidR="00964601" w:rsidRPr="00F50626">
        <w:t>3</w:t>
      </w:r>
      <w:r w:rsidR="00AC39F7">
        <w:tab/>
      </w:r>
      <w:r w:rsidR="0093465E">
        <w:t>Operations on candidate cells before the cell switch</w:t>
      </w:r>
    </w:p>
    <w:p w14:paraId="237275B0" w14:textId="78B0E358" w:rsidR="00210356" w:rsidRDefault="00F50626" w:rsidP="00F606BA">
      <w:pPr>
        <w:rPr>
          <w:lang w:val="en-GB" w:eastAsia="ja-JP"/>
        </w:rPr>
      </w:pPr>
      <w:r w:rsidRPr="00F50626">
        <w:rPr>
          <w:lang w:val="en-GB" w:eastAsia="ja-JP"/>
        </w:rPr>
        <w:t>Before accessing the target, the UE must have acquired the DL timing of the target</w:t>
      </w:r>
      <w:r>
        <w:rPr>
          <w:lang w:val="en-GB" w:eastAsia="ja-JP"/>
        </w:rPr>
        <w:t xml:space="preserve">. In legacy, the UE does this after processing the handover command. In other words, the UE waits until the next SSB arrives. </w:t>
      </w:r>
    </w:p>
    <w:p w14:paraId="549E8303" w14:textId="77777777" w:rsidR="00210356" w:rsidRDefault="00210356" w:rsidP="00210356">
      <w:pPr>
        <w:rPr>
          <w:lang w:val="en-GB" w:eastAsia="ja-JP"/>
        </w:rPr>
      </w:pPr>
      <w:r>
        <w:rPr>
          <w:lang w:val="en-GB" w:eastAsia="ja-JP"/>
        </w:rPr>
        <w:t>RAN1 made the following agreement in RAN1#111:</w:t>
      </w:r>
    </w:p>
    <w:p w14:paraId="6014F35D" w14:textId="77777777" w:rsidR="00210356" w:rsidRDefault="00210356" w:rsidP="00210356">
      <w:pPr>
        <w:rPr>
          <w:lang w:val="en-GB" w:eastAsia="ja-JP"/>
        </w:rPr>
      </w:pPr>
      <w:r w:rsidRPr="0040192D">
        <w:rPr>
          <w:noProof/>
          <w:lang w:val="en-GB" w:eastAsia="ja-JP"/>
        </w:rPr>
        <w:lastRenderedPageBreak/>
        <mc:AlternateContent>
          <mc:Choice Requires="wps">
            <w:drawing>
              <wp:inline distT="0" distB="0" distL="0" distR="0" wp14:anchorId="1EC9187E" wp14:editId="23BD6E38">
                <wp:extent cx="6120765" cy="639758"/>
                <wp:effectExtent l="0" t="0" r="13335" b="24130"/>
                <wp:docPr id="23" name="Text Box 2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BFB3AE0" w14:textId="77777777" w:rsidR="00210356" w:rsidRPr="00386A91" w:rsidRDefault="00210356" w:rsidP="006C36C5">
                            <w:pPr>
                              <w:shd w:val="clear" w:color="auto" w:fill="FFFFFF"/>
                              <w:spacing w:after="0"/>
                              <w:jc w:val="both"/>
                              <w:rPr>
                                <w:rFonts w:ascii="Times" w:hAnsi="Times" w:cs="Times"/>
                                <w:szCs w:val="20"/>
                                <w:highlight w:val="green"/>
                                <w:lang w:eastAsia="x-none"/>
                              </w:rPr>
                            </w:pPr>
                            <w:r w:rsidRPr="00386A91">
                              <w:rPr>
                                <w:rFonts w:ascii="Times" w:hAnsi="Times" w:cs="Times"/>
                                <w:szCs w:val="20"/>
                                <w:highlight w:val="green"/>
                                <w:lang w:eastAsia="x-none"/>
                              </w:rPr>
                              <w:t>Agreement</w:t>
                            </w:r>
                          </w:p>
                          <w:p w14:paraId="700E903E" w14:textId="77777777" w:rsidR="00210356" w:rsidRPr="00386A91" w:rsidRDefault="00210356" w:rsidP="006C36C5">
                            <w:pPr>
                              <w:pStyle w:val="ListParagraph"/>
                              <w:numPr>
                                <w:ilvl w:val="0"/>
                                <w:numId w:val="38"/>
                              </w:numPr>
                              <w:shd w:val="clear" w:color="auto" w:fill="FFFFFF"/>
                              <w:snapToGrid w:val="0"/>
                              <w:spacing w:line="240" w:lineRule="auto"/>
                              <w:ind w:left="357" w:hanging="357"/>
                              <w:jc w:val="both"/>
                              <w:rPr>
                                <w:rFonts w:ascii="Times" w:hAnsi="Times" w:cs="Times"/>
                                <w:sz w:val="20"/>
                                <w:szCs w:val="20"/>
                                <w:lang w:eastAsia="x-none"/>
                              </w:rPr>
                            </w:pPr>
                            <w:r w:rsidRPr="00386A91">
                              <w:rPr>
                                <w:rFonts w:ascii="Times" w:hAnsi="Times" w:cs="Times"/>
                                <w:sz w:val="20"/>
                                <w:szCs w:val="20"/>
                                <w:lang w:eastAsia="x-none"/>
                              </w:rPr>
                              <w:t>Regarding the potential RAN1 enhancements to reduce the handover delay / interruption for Rel-18 LTM</w:t>
                            </w:r>
                          </w:p>
                          <w:p w14:paraId="79C097E0" w14:textId="77777777" w:rsidR="00210356" w:rsidRPr="00386A91" w:rsidRDefault="00210356" w:rsidP="006C36C5">
                            <w:pPr>
                              <w:pStyle w:val="ListParagraph"/>
                              <w:numPr>
                                <w:ilvl w:val="1"/>
                                <w:numId w:val="41"/>
                              </w:numPr>
                              <w:snapToGrid w:val="0"/>
                              <w:spacing w:line="240" w:lineRule="auto"/>
                              <w:jc w:val="both"/>
                              <w:rPr>
                                <w:rFonts w:ascii="Times" w:hAnsi="Times" w:cs="Times"/>
                                <w:sz w:val="20"/>
                                <w:szCs w:val="20"/>
                                <w:lang w:eastAsia="x-none"/>
                              </w:rPr>
                            </w:pPr>
                            <w:r w:rsidRPr="005C049D">
                              <w:rPr>
                                <w:rFonts w:ascii="Times" w:eastAsia="Microsoft YaHei UI" w:hAnsi="Times" w:cs="Times"/>
                                <w:sz w:val="20"/>
                                <w:szCs w:val="20"/>
                              </w:rPr>
                              <w:t>Support</w:t>
                            </w:r>
                            <w:r w:rsidRPr="00386A91">
                              <w:rPr>
                                <w:rFonts w:ascii="Times" w:hAnsi="Times" w:cs="Times"/>
                                <w:sz w:val="20"/>
                                <w:szCs w:val="20"/>
                                <w:lang w:eastAsia="x-none"/>
                              </w:rPr>
                              <w:t> at least DL synchronization for candidate cell(s) based on at least SSB before cell switch command</w:t>
                            </w:r>
                          </w:p>
                          <w:p w14:paraId="6C8F683B" w14:textId="77777777" w:rsidR="00210356" w:rsidRPr="0040192D" w:rsidRDefault="00210356" w:rsidP="006C36C5">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Further </w:t>
                            </w:r>
                            <w:r w:rsidRPr="005C049D">
                              <w:rPr>
                                <w:rFonts w:ascii="Times" w:eastAsia="Microsoft YaHei UI" w:hAnsi="Times" w:cs="Times"/>
                                <w:sz w:val="20"/>
                                <w:szCs w:val="20"/>
                              </w:rPr>
                              <w:t>study</w:t>
                            </w:r>
                            <w:r w:rsidRPr="00386A91">
                              <w:rPr>
                                <w:rFonts w:ascii="Times" w:hAnsi="Times" w:cs="Times"/>
                                <w:sz w:val="20"/>
                                <w:szCs w:val="20"/>
                                <w:lang w:eastAsia="x-none"/>
                              </w:rPr>
                              <w:t xml:space="preserve"> the necessary mechanism, e.g. signaling and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C9187E" id="Text Box 23"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7BFB3AE0" w14:textId="77777777" w:rsidR="00210356" w:rsidRPr="00386A91" w:rsidRDefault="00210356" w:rsidP="006C36C5">
                      <w:pPr>
                        <w:shd w:val="clear" w:color="auto" w:fill="FFFFFF"/>
                        <w:spacing w:after="0"/>
                        <w:jc w:val="both"/>
                        <w:rPr>
                          <w:rFonts w:ascii="Times" w:hAnsi="Times" w:cs="Times"/>
                          <w:szCs w:val="20"/>
                          <w:highlight w:val="green"/>
                          <w:lang w:eastAsia="x-none"/>
                        </w:rPr>
                      </w:pPr>
                      <w:r w:rsidRPr="00386A91">
                        <w:rPr>
                          <w:rFonts w:ascii="Times" w:hAnsi="Times" w:cs="Times"/>
                          <w:szCs w:val="20"/>
                          <w:highlight w:val="green"/>
                          <w:lang w:eastAsia="x-none"/>
                        </w:rPr>
                        <w:t>Agreement</w:t>
                      </w:r>
                    </w:p>
                    <w:p w14:paraId="700E903E" w14:textId="77777777" w:rsidR="00210356" w:rsidRPr="00386A91" w:rsidRDefault="00210356" w:rsidP="006C36C5">
                      <w:pPr>
                        <w:pStyle w:val="ListParagraph"/>
                        <w:numPr>
                          <w:ilvl w:val="0"/>
                          <w:numId w:val="38"/>
                        </w:numPr>
                        <w:shd w:val="clear" w:color="auto" w:fill="FFFFFF"/>
                        <w:snapToGrid w:val="0"/>
                        <w:spacing w:line="240" w:lineRule="auto"/>
                        <w:ind w:left="357" w:hanging="357"/>
                        <w:jc w:val="both"/>
                        <w:rPr>
                          <w:rFonts w:ascii="Times" w:hAnsi="Times" w:cs="Times"/>
                          <w:sz w:val="20"/>
                          <w:szCs w:val="20"/>
                          <w:lang w:eastAsia="x-none"/>
                        </w:rPr>
                      </w:pPr>
                      <w:r w:rsidRPr="00386A91">
                        <w:rPr>
                          <w:rFonts w:ascii="Times" w:hAnsi="Times" w:cs="Times"/>
                          <w:sz w:val="20"/>
                          <w:szCs w:val="20"/>
                          <w:lang w:eastAsia="x-none"/>
                        </w:rPr>
                        <w:t>Regarding the potential RAN1 enhancements to reduce the handover delay / interruption for Rel-18 LTM</w:t>
                      </w:r>
                    </w:p>
                    <w:p w14:paraId="79C097E0" w14:textId="77777777" w:rsidR="00210356" w:rsidRPr="00386A91" w:rsidRDefault="00210356" w:rsidP="006C36C5">
                      <w:pPr>
                        <w:pStyle w:val="ListParagraph"/>
                        <w:numPr>
                          <w:ilvl w:val="1"/>
                          <w:numId w:val="41"/>
                        </w:numPr>
                        <w:snapToGrid w:val="0"/>
                        <w:spacing w:line="240" w:lineRule="auto"/>
                        <w:jc w:val="both"/>
                        <w:rPr>
                          <w:rFonts w:ascii="Times" w:hAnsi="Times" w:cs="Times"/>
                          <w:sz w:val="20"/>
                          <w:szCs w:val="20"/>
                          <w:lang w:eastAsia="x-none"/>
                        </w:rPr>
                      </w:pPr>
                      <w:r w:rsidRPr="005C049D">
                        <w:rPr>
                          <w:rFonts w:ascii="Times" w:eastAsia="Microsoft YaHei UI" w:hAnsi="Times" w:cs="Times"/>
                          <w:sz w:val="20"/>
                          <w:szCs w:val="20"/>
                        </w:rPr>
                        <w:t>Support</w:t>
                      </w:r>
                      <w:r w:rsidRPr="00386A91">
                        <w:rPr>
                          <w:rFonts w:ascii="Times" w:hAnsi="Times" w:cs="Times"/>
                          <w:sz w:val="20"/>
                          <w:szCs w:val="20"/>
                          <w:lang w:eastAsia="x-none"/>
                        </w:rPr>
                        <w:t> at least DL synchronization for candidate cell(s) based on at least SSB before cell switch command</w:t>
                      </w:r>
                    </w:p>
                    <w:p w14:paraId="6C8F683B" w14:textId="77777777" w:rsidR="00210356" w:rsidRPr="0040192D" w:rsidRDefault="00210356" w:rsidP="006C36C5">
                      <w:pPr>
                        <w:pStyle w:val="ListParagraph"/>
                        <w:numPr>
                          <w:ilvl w:val="2"/>
                          <w:numId w:val="41"/>
                        </w:numPr>
                        <w:snapToGrid w:val="0"/>
                        <w:spacing w:line="240" w:lineRule="auto"/>
                        <w:jc w:val="both"/>
                        <w:rPr>
                          <w:rFonts w:ascii="Times" w:hAnsi="Times" w:cs="Times"/>
                          <w:sz w:val="20"/>
                          <w:szCs w:val="20"/>
                          <w:lang w:eastAsia="x-none"/>
                        </w:rPr>
                      </w:pPr>
                      <w:r w:rsidRPr="00386A91">
                        <w:rPr>
                          <w:rFonts w:ascii="Times" w:hAnsi="Times" w:cs="Times"/>
                          <w:sz w:val="20"/>
                          <w:szCs w:val="20"/>
                          <w:lang w:eastAsia="x-none"/>
                        </w:rPr>
                        <w:t xml:space="preserve">Further </w:t>
                      </w:r>
                      <w:r w:rsidRPr="005C049D">
                        <w:rPr>
                          <w:rFonts w:ascii="Times" w:eastAsia="Microsoft YaHei UI" w:hAnsi="Times" w:cs="Times"/>
                          <w:sz w:val="20"/>
                          <w:szCs w:val="20"/>
                        </w:rPr>
                        <w:t>study</w:t>
                      </w:r>
                      <w:r w:rsidRPr="00386A91">
                        <w:rPr>
                          <w:rFonts w:ascii="Times" w:hAnsi="Times" w:cs="Times"/>
                          <w:sz w:val="20"/>
                          <w:szCs w:val="20"/>
                          <w:lang w:eastAsia="x-none"/>
                        </w:rPr>
                        <w:t xml:space="preserve"> the necessary mechanism, e.g. signaling and UE capability</w:t>
                      </w:r>
                    </w:p>
                  </w:txbxContent>
                </v:textbox>
                <w10:anchorlock/>
              </v:shape>
            </w:pict>
          </mc:Fallback>
        </mc:AlternateContent>
      </w:r>
    </w:p>
    <w:p w14:paraId="69562A87" w14:textId="6A4DD83C" w:rsidR="00210356" w:rsidRDefault="00210356" w:rsidP="00F606BA">
      <w:pPr>
        <w:rPr>
          <w:lang w:val="en-GB" w:eastAsia="ja-JP"/>
        </w:rPr>
      </w:pPr>
      <w:r>
        <w:rPr>
          <w:lang w:val="en-GB" w:eastAsia="ja-JP"/>
        </w:rPr>
        <w:t xml:space="preserve">This is very important agreement. Performing DL synchronization to the target </w:t>
      </w:r>
      <w:r w:rsidR="0028341E">
        <w:rPr>
          <w:lang w:val="en-GB" w:eastAsia="ja-JP"/>
        </w:rPr>
        <w:t xml:space="preserve">may </w:t>
      </w:r>
      <w:r>
        <w:rPr>
          <w:lang w:val="en-GB" w:eastAsia="ja-JP"/>
        </w:rPr>
        <w:t>take</w:t>
      </w:r>
      <w:r w:rsidR="0028341E">
        <w:rPr>
          <w:lang w:val="en-GB" w:eastAsia="ja-JP"/>
        </w:rPr>
        <w:t xml:space="preserve"> up to</w:t>
      </w:r>
      <w:r>
        <w:rPr>
          <w:lang w:val="en-GB" w:eastAsia="ja-JP"/>
        </w:rPr>
        <w:t xml:space="preserve"> 20ms, during which the UE cannot receive from source, and in legacy, this is a large fraction of the interrupt.</w:t>
      </w:r>
    </w:p>
    <w:p w14:paraId="330EC6A7" w14:textId="77777777" w:rsidR="00196236" w:rsidRDefault="00196236" w:rsidP="00F606BA">
      <w:pPr>
        <w:rPr>
          <w:lang w:val="en-GB" w:eastAsia="ja-JP"/>
        </w:rPr>
      </w:pPr>
      <w:r>
        <w:rPr>
          <w:lang w:val="en-GB" w:eastAsia="ja-JP"/>
        </w:rPr>
        <w:t>T</w:t>
      </w:r>
      <w:r w:rsidR="0052073B">
        <w:rPr>
          <w:lang w:val="en-GB" w:eastAsia="ja-JP"/>
        </w:rPr>
        <w:t xml:space="preserve">he natural interpretation of the above agreement is that the </w:t>
      </w:r>
      <w:r>
        <w:rPr>
          <w:lang w:val="en-GB" w:eastAsia="ja-JP"/>
        </w:rPr>
        <w:t>UE can directly receive the PDCCH/PDSCH from target. Otherwise, the agreement has no specification impact. We propose to clarify this:</w:t>
      </w:r>
    </w:p>
    <w:p w14:paraId="6E9DFF52" w14:textId="510E9F7C" w:rsidR="00210356" w:rsidRDefault="00196236" w:rsidP="00196236">
      <w:pPr>
        <w:pStyle w:val="Proposal"/>
        <w:rPr>
          <w:lang w:val="en-GB"/>
        </w:rPr>
      </w:pPr>
      <w:bookmarkStart w:id="38" w:name="_Ref130802647"/>
      <w:bookmarkStart w:id="39" w:name="_Toc131756591"/>
      <w:r>
        <w:rPr>
          <w:lang w:val="en-GB"/>
        </w:rPr>
        <w:t>The DL synch</w:t>
      </w:r>
      <w:r w:rsidR="00680864">
        <w:rPr>
          <w:lang w:val="en-GB"/>
        </w:rPr>
        <w:t>ronization enables the UE to receive PDCCH/PDSCH from the candidate cell without additional delay.</w:t>
      </w:r>
      <w:bookmarkEnd w:id="38"/>
      <w:bookmarkEnd w:id="39"/>
    </w:p>
    <w:p w14:paraId="37E8B38C" w14:textId="016538BA" w:rsidR="00F823F1" w:rsidRDefault="00680864" w:rsidP="00F606BA">
      <w:pPr>
        <w:rPr>
          <w:lang w:val="en-GB" w:eastAsia="ja-JP"/>
        </w:rPr>
      </w:pPr>
      <w:r>
        <w:rPr>
          <w:lang w:val="en-GB" w:eastAsia="ja-JP"/>
        </w:rPr>
        <w:fldChar w:fldCharType="begin"/>
      </w:r>
      <w:r>
        <w:rPr>
          <w:lang w:val="en-GB" w:eastAsia="ja-JP"/>
        </w:rPr>
        <w:instrText xml:space="preserve"> REF _Ref130802647 \r \h </w:instrText>
      </w:r>
      <w:r>
        <w:rPr>
          <w:lang w:val="en-GB" w:eastAsia="ja-JP"/>
        </w:rPr>
      </w:r>
      <w:r>
        <w:rPr>
          <w:lang w:val="en-GB" w:eastAsia="ja-JP"/>
        </w:rPr>
        <w:fldChar w:fldCharType="separate"/>
      </w:r>
      <w:r w:rsidR="00837713">
        <w:rPr>
          <w:lang w:val="en-GB" w:eastAsia="ja-JP"/>
        </w:rPr>
        <w:t>Proposal 18</w:t>
      </w:r>
      <w:r>
        <w:rPr>
          <w:lang w:val="en-GB" w:eastAsia="ja-JP"/>
        </w:rPr>
        <w:fldChar w:fldCharType="end"/>
      </w:r>
      <w:r>
        <w:rPr>
          <w:lang w:val="en-GB" w:eastAsia="ja-JP"/>
        </w:rPr>
        <w:t xml:space="preserve"> </w:t>
      </w:r>
      <w:r w:rsidR="00F823F1">
        <w:rPr>
          <w:lang w:val="en-GB" w:eastAsia="ja-JP"/>
        </w:rPr>
        <w:t xml:space="preserve">is in line with the RAN4 requirements, where </w:t>
      </w:r>
      <w:r w:rsidR="00210356">
        <w:rPr>
          <w:lang w:val="en-GB" w:eastAsia="ja-JP"/>
        </w:rPr>
        <w:t>the TCI state activation time is determined by the arrival of the next SSB, not the arrival time of the reference signal in the TCI state</w:t>
      </w:r>
      <w:r w:rsidR="00F50626">
        <w:rPr>
          <w:lang w:val="en-GB" w:eastAsia="ja-JP"/>
        </w:rPr>
        <w:t>.</w:t>
      </w:r>
      <w:r w:rsidR="00797F1D" w:rsidRPr="00797F1D">
        <w:rPr>
          <w:lang w:val="en-GB" w:eastAsia="ja-JP"/>
        </w:rPr>
        <w:t xml:space="preserve"> </w:t>
      </w:r>
      <w:r w:rsidR="00F823F1">
        <w:rPr>
          <w:lang w:val="en-GB" w:eastAsia="ja-JP"/>
        </w:rPr>
        <w:t>We note that this would require that the UE also estimates the QCL-TypeA properties from the SSB, as the UE does before receiving the RRC configuration in legacy.</w:t>
      </w:r>
    </w:p>
    <w:p w14:paraId="3C3465E3" w14:textId="629A7C5B" w:rsidR="0057227B" w:rsidRDefault="00837713" w:rsidP="00F606BA">
      <w:pPr>
        <w:rPr>
          <w:lang w:val="en-GB" w:eastAsia="ja-JP"/>
        </w:rPr>
      </w:pPr>
      <w:r>
        <w:rPr>
          <w:lang w:val="en-GB" w:eastAsia="ja-JP"/>
        </w:rPr>
        <w:t>T</w:t>
      </w:r>
      <w:r w:rsidR="0040192D">
        <w:rPr>
          <w:lang w:val="en-GB" w:eastAsia="ja-JP"/>
        </w:rPr>
        <w:t xml:space="preserve">he agreement states that we should further study </w:t>
      </w:r>
      <w:r w:rsidR="00210356">
        <w:rPr>
          <w:lang w:val="en-GB" w:eastAsia="ja-JP"/>
        </w:rPr>
        <w:t>signalling</w:t>
      </w:r>
      <w:r w:rsidR="0040192D">
        <w:rPr>
          <w:lang w:val="en-GB" w:eastAsia="ja-JP"/>
        </w:rPr>
        <w:t xml:space="preserve"> and UE capability. </w:t>
      </w:r>
      <w:r w:rsidR="00835457">
        <w:rPr>
          <w:lang w:val="en-GB" w:eastAsia="ja-JP"/>
        </w:rPr>
        <w:t xml:space="preserve">The UE is provided with a limited set of candidates and measurement targets. The </w:t>
      </w:r>
      <w:r w:rsidR="0057227B">
        <w:rPr>
          <w:lang w:val="en-GB" w:eastAsia="ja-JP"/>
        </w:rPr>
        <w:t xml:space="preserve">set of </w:t>
      </w:r>
      <w:r w:rsidR="00835457">
        <w:rPr>
          <w:lang w:val="en-GB" w:eastAsia="ja-JP"/>
        </w:rPr>
        <w:t xml:space="preserve">potential handover targets </w:t>
      </w:r>
      <w:r w:rsidR="0057227B">
        <w:rPr>
          <w:lang w:val="en-GB" w:eastAsia="ja-JP"/>
        </w:rPr>
        <w:t>is</w:t>
      </w:r>
      <w:r w:rsidR="00221DF9">
        <w:rPr>
          <w:lang w:val="en-GB" w:eastAsia="ja-JP"/>
        </w:rPr>
        <w:t xml:space="preserve"> </w:t>
      </w:r>
      <w:r w:rsidR="00835457">
        <w:rPr>
          <w:lang w:val="en-GB" w:eastAsia="ja-JP"/>
        </w:rPr>
        <w:t xml:space="preserve">thus small and provided to the UE explicitly. The required </w:t>
      </w:r>
      <w:r w:rsidR="0057227B">
        <w:rPr>
          <w:lang w:val="en-GB" w:eastAsia="ja-JP"/>
        </w:rPr>
        <w:t>signalling</w:t>
      </w:r>
      <w:r w:rsidR="00835457">
        <w:rPr>
          <w:lang w:val="en-GB" w:eastAsia="ja-JP"/>
        </w:rPr>
        <w:t xml:space="preserve"> is thus already in place, and there is no need to introduce any dedicated </w:t>
      </w:r>
      <w:r w:rsidR="0057227B">
        <w:rPr>
          <w:lang w:val="en-GB" w:eastAsia="ja-JP"/>
        </w:rPr>
        <w:t>signalling:</w:t>
      </w:r>
    </w:p>
    <w:p w14:paraId="3F0C71E8" w14:textId="0784FDD6" w:rsidR="0057227B" w:rsidRDefault="0057227B" w:rsidP="0057227B">
      <w:pPr>
        <w:pStyle w:val="Proposal"/>
        <w:rPr>
          <w:lang w:val="en-GB"/>
        </w:rPr>
      </w:pPr>
      <w:bookmarkStart w:id="40" w:name="_Toc131756592"/>
      <w:r>
        <w:rPr>
          <w:lang w:val="en-GB"/>
        </w:rPr>
        <w:t>Do not introduce any additional dedicated signalling to support DL pre-synchronization.</w:t>
      </w:r>
      <w:bookmarkEnd w:id="40"/>
    </w:p>
    <w:p w14:paraId="463E7641" w14:textId="2B154C90" w:rsidR="00C33DB6" w:rsidRDefault="00835457" w:rsidP="00F606BA">
      <w:pPr>
        <w:rPr>
          <w:lang w:val="en-GB" w:eastAsia="ja-JP"/>
        </w:rPr>
      </w:pPr>
      <w:r>
        <w:rPr>
          <w:lang w:val="en-GB" w:eastAsia="ja-JP"/>
        </w:rPr>
        <w:t>As soon as the UE has performed and reported a measurement for one SSB for one candidate cell, the UE would store the QCL properties of that SSB for future use. Of course, there may be a</w:t>
      </w:r>
      <w:r w:rsidR="0057227B">
        <w:rPr>
          <w:lang w:val="en-GB" w:eastAsia="ja-JP"/>
        </w:rPr>
        <w:t xml:space="preserve"> limitation on the number of SSBs for which the UE can store the QCL properties. In case the UE cannot store the properties of all SSBs it reported, there would have to be a mechanism defined to enable the UE to select a subset of the reported SSB</w:t>
      </w:r>
      <w:r w:rsidR="00EB68EA">
        <w:rPr>
          <w:lang w:val="en-GB" w:eastAsia="ja-JP"/>
        </w:rPr>
        <w:t>. Hence, we propose</w:t>
      </w:r>
    </w:p>
    <w:p w14:paraId="06E7A58A" w14:textId="6A3947E6" w:rsidR="0040192D" w:rsidRPr="0040192D" w:rsidRDefault="00EB68EA" w:rsidP="00F606BA">
      <w:pPr>
        <w:pStyle w:val="Proposal"/>
        <w:tabs>
          <w:tab w:val="clear" w:pos="1304"/>
        </w:tabs>
        <w:snapToGrid w:val="0"/>
        <w:ind w:left="1701" w:hanging="1701"/>
        <w:jc w:val="left"/>
        <w:rPr>
          <w:lang w:val="en-GB"/>
        </w:rPr>
      </w:pPr>
      <w:bookmarkStart w:id="41" w:name="_Toc131756593"/>
      <w:r>
        <w:rPr>
          <w:lang w:val="en-GB"/>
        </w:rPr>
        <w:t>The UE stores the QCL properties of a subset of the SSBs it measured and reported.</w:t>
      </w:r>
      <w:bookmarkEnd w:id="41"/>
    </w:p>
    <w:p w14:paraId="36DE2F4F" w14:textId="348409C8" w:rsidR="006F27F6" w:rsidRDefault="00EB68EA" w:rsidP="00F606BA">
      <w:pPr>
        <w:rPr>
          <w:lang w:val="en-GB" w:eastAsia="ja-JP"/>
        </w:rPr>
      </w:pPr>
      <w:r>
        <w:rPr>
          <w:lang w:val="en-GB" w:eastAsia="ja-JP"/>
        </w:rPr>
        <w:t xml:space="preserve">Additionally, we note that </w:t>
      </w:r>
      <w:r w:rsidR="006F27F6">
        <w:rPr>
          <w:lang w:val="en-GB" w:eastAsia="ja-JP"/>
        </w:rPr>
        <w:t>DL pre-synchronization is a basic feature.</w:t>
      </w:r>
      <w:r>
        <w:rPr>
          <w:lang w:val="en-GB" w:eastAsia="ja-JP"/>
        </w:rPr>
        <w:t xml:space="preserve"> Support of LTM must imply that the UE supports DL pre-synchronization to one candidate:</w:t>
      </w:r>
    </w:p>
    <w:p w14:paraId="48780A75" w14:textId="40F3A2F7" w:rsidR="00EB68EA" w:rsidRPr="00EB68EA" w:rsidRDefault="00EB68EA" w:rsidP="00F606BA">
      <w:pPr>
        <w:pStyle w:val="Proposal"/>
        <w:tabs>
          <w:tab w:val="clear" w:pos="1304"/>
        </w:tabs>
        <w:snapToGrid w:val="0"/>
        <w:ind w:left="1701" w:hanging="1701"/>
        <w:jc w:val="left"/>
        <w:rPr>
          <w:lang w:val="en-GB"/>
        </w:rPr>
      </w:pPr>
      <w:bookmarkStart w:id="42" w:name="_Toc131756594"/>
      <w:r>
        <w:rPr>
          <w:lang w:val="en-GB"/>
        </w:rPr>
        <w:t>A UE capable of LTM must be able to perform DL pre-synchronization to at least one candidate cell.</w:t>
      </w:r>
      <w:bookmarkEnd w:id="42"/>
    </w:p>
    <w:p w14:paraId="37EB5693" w14:textId="5D9E9270" w:rsidR="00C01F33" w:rsidRPr="00CE0424" w:rsidRDefault="00FA6C5A"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DBC93F" w14:textId="248F3C25" w:rsidR="00837713"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56567" w:history="1">
        <w:r w:rsidR="00837713" w:rsidRPr="0043074C">
          <w:rPr>
            <w:rStyle w:val="Hyperlink"/>
            <w:noProof/>
            <w:lang w:val="en-GB"/>
          </w:rPr>
          <w:t>Observation 1</w:t>
        </w:r>
        <w:r w:rsidR="00837713">
          <w:rPr>
            <w:rFonts w:asciiTheme="minorHAnsi" w:eastAsiaTheme="minorEastAsia" w:hAnsiTheme="minorHAnsi"/>
            <w:b w:val="0"/>
            <w:noProof/>
            <w:sz w:val="22"/>
            <w:lang w:val="en-SE" w:eastAsia="en-SE"/>
          </w:rPr>
          <w:tab/>
        </w:r>
        <w:r w:rsidR="00837713" w:rsidRPr="0043074C">
          <w:rPr>
            <w:rStyle w:val="Hyperlink"/>
            <w:noProof/>
            <w:lang w:val="en-GB"/>
          </w:rPr>
          <w:t>RAN1 should not assume that any information that is available at the UE is also available in the serving DU.</w:t>
        </w:r>
      </w:hyperlink>
    </w:p>
    <w:p w14:paraId="25C45F9D" w14:textId="60AF298C"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68" w:history="1">
        <w:r w:rsidRPr="0043074C">
          <w:rPr>
            <w:rStyle w:val="Hyperlink"/>
            <w:noProof/>
            <w:lang w:val="en-GB"/>
          </w:rPr>
          <w:t>Observation 2</w:t>
        </w:r>
        <w:r>
          <w:rPr>
            <w:rFonts w:asciiTheme="minorHAnsi" w:eastAsiaTheme="minorEastAsia" w:hAnsiTheme="minorHAnsi"/>
            <w:b w:val="0"/>
            <w:noProof/>
            <w:sz w:val="22"/>
            <w:lang w:val="en-SE" w:eastAsia="en-SE"/>
          </w:rPr>
          <w:tab/>
        </w:r>
        <w:r w:rsidRPr="0043074C">
          <w:rPr>
            <w:rStyle w:val="Hyperlink"/>
            <w:noProof/>
            <w:lang w:val="en-GB"/>
          </w:rPr>
          <w:t>At the reception of the beam indication command, the UE should be able to derive a Rel-17 TCI state.</w:t>
        </w:r>
      </w:hyperlink>
    </w:p>
    <w:p w14:paraId="7994C8D2" w14:textId="4EAA2EB5"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69" w:history="1">
        <w:r w:rsidRPr="0043074C">
          <w:rPr>
            <w:rStyle w:val="Hyperlink"/>
            <w:noProof/>
            <w:lang w:val="en-GB"/>
          </w:rPr>
          <w:t>Observation 3</w:t>
        </w:r>
        <w:r>
          <w:rPr>
            <w:rFonts w:asciiTheme="minorHAnsi" w:eastAsiaTheme="minorEastAsia" w:hAnsiTheme="minorHAnsi"/>
            <w:b w:val="0"/>
            <w:noProof/>
            <w:sz w:val="22"/>
            <w:lang w:val="en-SE" w:eastAsia="en-SE"/>
          </w:rPr>
          <w:tab/>
        </w:r>
        <w:r w:rsidRPr="0043074C">
          <w:rPr>
            <w:rStyle w:val="Hyperlink"/>
            <w:noProof/>
            <w:lang w:val="en-GB"/>
          </w:rPr>
          <w:t>In the current specification, the serving DU does not know the TCI states of cells served by another DU. Enhancements to F1 are needed to support this.</w:t>
        </w:r>
      </w:hyperlink>
    </w:p>
    <w:p w14:paraId="5BE928BB" w14:textId="20615555"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0" w:history="1">
        <w:r w:rsidRPr="0043074C">
          <w:rPr>
            <w:rStyle w:val="Hyperlink"/>
            <w:noProof/>
            <w:lang w:val="en-GB"/>
          </w:rPr>
          <w:t>Observation 4</w:t>
        </w:r>
        <w:r>
          <w:rPr>
            <w:rFonts w:asciiTheme="minorHAnsi" w:eastAsiaTheme="minorEastAsia" w:hAnsiTheme="minorHAnsi"/>
            <w:b w:val="0"/>
            <w:noProof/>
            <w:sz w:val="22"/>
            <w:lang w:val="en-SE" w:eastAsia="en-SE"/>
          </w:rPr>
          <w:tab/>
        </w:r>
        <w:r w:rsidRPr="0043074C">
          <w:rPr>
            <w:rStyle w:val="Hyperlink"/>
            <w:noProof/>
            <w:lang w:val="en-GB"/>
          </w:rPr>
          <w:t>The serving DU does not automatically know the mapping between an RS and the corresponding TCI state – but the UE does.</w:t>
        </w:r>
      </w:hyperlink>
    </w:p>
    <w:p w14:paraId="1ACC854C" w14:textId="71ED6AA3"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1" w:history="1">
        <w:r w:rsidRPr="0043074C">
          <w:rPr>
            <w:rStyle w:val="Hyperlink"/>
            <w:noProof/>
            <w:lang w:val="en-GB"/>
          </w:rPr>
          <w:t>Observation 5</w:t>
        </w:r>
        <w:r>
          <w:rPr>
            <w:rFonts w:asciiTheme="minorHAnsi" w:eastAsiaTheme="minorEastAsia" w:hAnsiTheme="minorHAnsi"/>
            <w:b w:val="0"/>
            <w:noProof/>
            <w:sz w:val="22"/>
            <w:lang w:val="en-SE" w:eastAsia="en-SE"/>
          </w:rPr>
          <w:tab/>
        </w:r>
        <w:r w:rsidRPr="0043074C">
          <w:rPr>
            <w:rStyle w:val="Hyperlink"/>
            <w:noProof/>
            <w:lang w:val="en-GB"/>
          </w:rPr>
          <w:t>In all relevant cases, the mapping between the explicit RS identifier and the TCI state is unique.</w:t>
        </w:r>
      </w:hyperlink>
    </w:p>
    <w:p w14:paraId="332275A6" w14:textId="521B60D5"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2" w:history="1">
        <w:r w:rsidRPr="0043074C">
          <w:rPr>
            <w:rStyle w:val="Hyperlink"/>
            <w:noProof/>
          </w:rPr>
          <w:t>Observation 6</w:t>
        </w:r>
        <w:r>
          <w:rPr>
            <w:rFonts w:asciiTheme="minorHAnsi" w:eastAsiaTheme="minorEastAsia" w:hAnsiTheme="minorHAnsi"/>
            <w:b w:val="0"/>
            <w:noProof/>
            <w:sz w:val="22"/>
            <w:lang w:val="en-SE" w:eastAsia="en-SE"/>
          </w:rPr>
          <w:tab/>
        </w:r>
        <w:r w:rsidRPr="0043074C">
          <w:rPr>
            <w:rStyle w:val="Hyperlink"/>
            <w:noProof/>
          </w:rPr>
          <w:t>The latency of event-driven reporting is typically larger than the latency of network-initiated reporting.</w:t>
        </w:r>
      </w:hyperlink>
    </w:p>
    <w:p w14:paraId="4C082E41" w14:textId="6B48DA48"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3" w:history="1">
        <w:r w:rsidRPr="0043074C">
          <w:rPr>
            <w:rStyle w:val="Hyperlink"/>
            <w:noProof/>
          </w:rPr>
          <w:t>Observation 7</w:t>
        </w:r>
        <w:r>
          <w:rPr>
            <w:rFonts w:asciiTheme="minorHAnsi" w:eastAsiaTheme="minorEastAsia" w:hAnsiTheme="minorHAnsi"/>
            <w:b w:val="0"/>
            <w:noProof/>
            <w:sz w:val="22"/>
            <w:lang w:val="en-SE" w:eastAsia="en-SE"/>
          </w:rPr>
          <w:tab/>
        </w:r>
        <w:r w:rsidRPr="0043074C">
          <w:rPr>
            <w:rStyle w:val="Hyperlink"/>
            <w:noProof/>
          </w:rPr>
          <w:t>Provided that the event is properly designed, the reporting overhead of event-driven reporting can be lower than network-initiated reporting.</w:t>
        </w:r>
      </w:hyperlink>
    </w:p>
    <w:p w14:paraId="6225A1B8" w14:textId="70E3625B" w:rsidR="006E1C82" w:rsidRPr="003E7610"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1751A82" w14:textId="59027B55" w:rsidR="0083771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756574" w:history="1">
        <w:r w:rsidR="00837713" w:rsidRPr="00BE1B6D">
          <w:rPr>
            <w:rStyle w:val="Hyperlink"/>
            <w:noProof/>
            <w:lang w:val="en-GB"/>
          </w:rPr>
          <w:t>Proposal 1</w:t>
        </w:r>
        <w:r w:rsidR="00837713">
          <w:rPr>
            <w:rFonts w:asciiTheme="minorHAnsi" w:eastAsiaTheme="minorEastAsia" w:hAnsiTheme="minorHAnsi"/>
            <w:b w:val="0"/>
            <w:noProof/>
            <w:sz w:val="22"/>
            <w:lang w:val="en-SE" w:eastAsia="en-SE"/>
          </w:rPr>
          <w:tab/>
        </w:r>
        <w:r w:rsidR="00837713" w:rsidRPr="00BE1B6D">
          <w:rPr>
            <w:rStyle w:val="Hyperlink"/>
            <w:noProof/>
            <w:lang w:val="en-GB"/>
          </w:rPr>
          <w:t>Support also scenario 1 with LTM: the beam indication is transmitted before the cell switch command.</w:t>
        </w:r>
      </w:hyperlink>
    </w:p>
    <w:p w14:paraId="2486A13B" w14:textId="3C205986"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5" w:history="1">
        <w:r w:rsidRPr="00BE1B6D">
          <w:rPr>
            <w:rStyle w:val="Hyperlink"/>
            <w:noProof/>
            <w:lang w:val="en-GB"/>
          </w:rPr>
          <w:t>Proposal 2</w:t>
        </w:r>
        <w:r>
          <w:rPr>
            <w:rFonts w:asciiTheme="minorHAnsi" w:eastAsiaTheme="minorEastAsia" w:hAnsiTheme="minorHAnsi"/>
            <w:b w:val="0"/>
            <w:noProof/>
            <w:sz w:val="22"/>
            <w:lang w:val="en-SE" w:eastAsia="en-SE"/>
          </w:rPr>
          <w:tab/>
        </w:r>
        <w:r w:rsidRPr="00BE1B6D">
          <w:rPr>
            <w:rStyle w:val="Hyperlink"/>
            <w:noProof/>
            <w:lang w:val="en-GB"/>
          </w:rPr>
          <w:t>Support that an LTM cell-switch command triggers a cell-switch, but not an update of the indicated TCI state</w:t>
        </w:r>
      </w:hyperlink>
    </w:p>
    <w:p w14:paraId="5BE40A28" w14:textId="595AA1E8"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6" w:history="1">
        <w:r w:rsidRPr="00BE1B6D">
          <w:rPr>
            <w:rStyle w:val="Hyperlink"/>
            <w:noProof/>
            <w:lang w:val="en-GB"/>
          </w:rPr>
          <w:t>Proposal 3</w:t>
        </w:r>
        <w:r>
          <w:rPr>
            <w:rFonts w:asciiTheme="minorHAnsi" w:eastAsiaTheme="minorEastAsia" w:hAnsiTheme="minorHAnsi"/>
            <w:b w:val="0"/>
            <w:noProof/>
            <w:sz w:val="22"/>
            <w:lang w:val="en-SE" w:eastAsia="en-SE"/>
          </w:rPr>
          <w:tab/>
        </w:r>
        <w:r w:rsidRPr="00BE1B6D">
          <w:rPr>
            <w:rStyle w:val="Hyperlink"/>
            <w:noProof/>
            <w:lang w:val="en-GB"/>
          </w:rPr>
          <w:t>The beam indication contains an explicit identifier of a reference signal.</w:t>
        </w:r>
      </w:hyperlink>
    </w:p>
    <w:p w14:paraId="56668370" w14:textId="3F978640"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7" w:history="1">
        <w:r w:rsidRPr="00BE1B6D">
          <w:rPr>
            <w:rStyle w:val="Hyperlink"/>
            <w:noProof/>
            <w:lang w:val="en-GB"/>
          </w:rPr>
          <w:t>Proposal 4</w:t>
        </w:r>
        <w:r>
          <w:rPr>
            <w:rFonts w:asciiTheme="minorHAnsi" w:eastAsiaTheme="minorEastAsia" w:hAnsiTheme="minorHAnsi"/>
            <w:b w:val="0"/>
            <w:noProof/>
            <w:sz w:val="22"/>
            <w:lang w:val="en-SE" w:eastAsia="en-SE"/>
          </w:rPr>
          <w:tab/>
        </w:r>
        <w:r w:rsidRPr="00BE1B6D">
          <w:rPr>
            <w:rStyle w:val="Hyperlink"/>
            <w:noProof/>
            <w:lang w:val="en-GB"/>
          </w:rPr>
          <w:t>The UE maps the RS identifier to a TCI state in the correct candidate configuration.</w:t>
        </w:r>
      </w:hyperlink>
    </w:p>
    <w:p w14:paraId="35CD3089" w14:textId="0AFDBCE3"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8" w:history="1">
        <w:r w:rsidRPr="00BE1B6D">
          <w:rPr>
            <w:rStyle w:val="Hyperlink"/>
            <w:noProof/>
            <w:lang w:val="en-GB"/>
          </w:rPr>
          <w:t>Proposal 5</w:t>
        </w:r>
        <w:r>
          <w:rPr>
            <w:rFonts w:asciiTheme="minorHAnsi" w:eastAsiaTheme="minorEastAsia" w:hAnsiTheme="minorHAnsi"/>
            <w:b w:val="0"/>
            <w:noProof/>
            <w:sz w:val="22"/>
            <w:lang w:val="en-SE" w:eastAsia="en-SE"/>
          </w:rPr>
          <w:tab/>
        </w:r>
        <w:r w:rsidRPr="00BE1B6D">
          <w:rPr>
            <w:rStyle w:val="Hyperlink"/>
            <w:noProof/>
            <w:lang w:val="en-GB"/>
          </w:rPr>
          <w:t>The UE chooses the TCI state that has the signalled SSB as QCL Type-C source.</w:t>
        </w:r>
      </w:hyperlink>
    </w:p>
    <w:p w14:paraId="1BCBD13D" w14:textId="2429DCC9"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79" w:history="1">
        <w:r w:rsidRPr="00BE1B6D">
          <w:rPr>
            <w:rStyle w:val="Hyperlink"/>
            <w:noProof/>
            <w:lang w:val="en-GB"/>
          </w:rPr>
          <w:t>Proposal 6</w:t>
        </w:r>
        <w:r>
          <w:rPr>
            <w:rFonts w:asciiTheme="minorHAnsi" w:eastAsiaTheme="minorEastAsia" w:hAnsiTheme="minorHAnsi"/>
            <w:b w:val="0"/>
            <w:noProof/>
            <w:sz w:val="22"/>
            <w:lang w:val="en-SE" w:eastAsia="en-SE"/>
          </w:rPr>
          <w:tab/>
        </w:r>
        <w:r w:rsidRPr="00BE1B6D">
          <w:rPr>
            <w:rStyle w:val="Hyperlink"/>
            <w:noProof/>
            <w:lang w:val="en-GB"/>
          </w:rPr>
          <w:t>After the beam indication has been applied, the UE can receive all DL signals/channels, and transmit all UL signals/channels.</w:t>
        </w:r>
      </w:hyperlink>
    </w:p>
    <w:p w14:paraId="7526BFFD" w14:textId="45FB761C"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0" w:history="1">
        <w:r w:rsidRPr="00BE1B6D">
          <w:rPr>
            <w:rStyle w:val="Hyperlink"/>
            <w:noProof/>
            <w:lang w:val="en-GB" w:eastAsia="ja-JP"/>
          </w:rPr>
          <w:t>Proposal 7</w:t>
        </w:r>
        <w:r>
          <w:rPr>
            <w:rFonts w:asciiTheme="minorHAnsi" w:eastAsiaTheme="minorEastAsia" w:hAnsiTheme="minorHAnsi"/>
            <w:b w:val="0"/>
            <w:noProof/>
            <w:sz w:val="22"/>
            <w:lang w:val="en-SE" w:eastAsia="en-SE"/>
          </w:rPr>
          <w:tab/>
        </w:r>
        <w:r w:rsidRPr="00BE1B6D">
          <w:rPr>
            <w:rStyle w:val="Hyperlink"/>
            <w:noProof/>
            <w:lang w:val="en-GB"/>
          </w:rPr>
          <w:t>The explicit RS identity refers to the SpCell of the indicated candidate.</w:t>
        </w:r>
      </w:hyperlink>
    </w:p>
    <w:p w14:paraId="6AA03AE7" w14:textId="1A328B29"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1" w:history="1">
        <w:r w:rsidRPr="00BE1B6D">
          <w:rPr>
            <w:rStyle w:val="Hyperlink"/>
            <w:noProof/>
            <w:lang w:val="en-GB"/>
          </w:rPr>
          <w:t>Proposal 8</w:t>
        </w:r>
        <w:r>
          <w:rPr>
            <w:rFonts w:asciiTheme="minorHAnsi" w:eastAsiaTheme="minorEastAsia" w:hAnsiTheme="minorHAnsi"/>
            <w:b w:val="0"/>
            <w:noProof/>
            <w:sz w:val="22"/>
            <w:lang w:val="en-SE" w:eastAsia="en-SE"/>
          </w:rPr>
          <w:tab/>
        </w:r>
        <w:r w:rsidRPr="00BE1B6D">
          <w:rPr>
            <w:rStyle w:val="Hyperlink"/>
            <w:noProof/>
            <w:lang w:val="en-GB"/>
          </w:rPr>
          <w:t>The beam indication contains ID of the active DL and UL BWPs for the target SpCell.</w:t>
        </w:r>
      </w:hyperlink>
    </w:p>
    <w:p w14:paraId="2000A2A3" w14:textId="58007EC3"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2" w:history="1">
        <w:r w:rsidRPr="00BE1B6D">
          <w:rPr>
            <w:rStyle w:val="Hyperlink"/>
            <w:noProof/>
          </w:rPr>
          <w:t>Proposal 9</w:t>
        </w:r>
        <w:r>
          <w:rPr>
            <w:rFonts w:asciiTheme="minorHAnsi" w:eastAsiaTheme="minorEastAsia" w:hAnsiTheme="minorHAnsi"/>
            <w:b w:val="0"/>
            <w:noProof/>
            <w:sz w:val="22"/>
            <w:lang w:val="en-SE" w:eastAsia="en-SE"/>
          </w:rPr>
          <w:tab/>
        </w:r>
        <w:r w:rsidRPr="00BE1B6D">
          <w:rPr>
            <w:rStyle w:val="Hyperlink"/>
            <w:noProof/>
          </w:rPr>
          <w:t>For gNB scheduled L1 measurement report for Rel-18 LTM, UCI can also be reported over periodic and semi-persistent PUCCH.</w:t>
        </w:r>
      </w:hyperlink>
    </w:p>
    <w:p w14:paraId="536BFE36" w14:textId="33D9EAF7"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3" w:history="1">
        <w:r w:rsidRPr="00BE1B6D">
          <w:rPr>
            <w:rStyle w:val="Hyperlink"/>
            <w:noProof/>
          </w:rPr>
          <w:t>Proposal 10</w:t>
        </w:r>
        <w:r>
          <w:rPr>
            <w:rFonts w:asciiTheme="minorHAnsi" w:eastAsiaTheme="minorEastAsia" w:hAnsiTheme="minorHAnsi"/>
            <w:b w:val="0"/>
            <w:noProof/>
            <w:sz w:val="22"/>
            <w:lang w:val="en-SE" w:eastAsia="en-SE"/>
          </w:rPr>
          <w:tab/>
        </w:r>
        <w:r w:rsidRPr="00BE1B6D">
          <w:rPr>
            <w:rStyle w:val="Hyperlink"/>
            <w:noProof/>
          </w:rPr>
          <w:t>In every LTM measurement report, one measurement from a serving cell is included.</w:t>
        </w:r>
      </w:hyperlink>
    </w:p>
    <w:p w14:paraId="710443E4" w14:textId="0E2B5545"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4" w:history="1">
        <w:r w:rsidRPr="00BE1B6D">
          <w:rPr>
            <w:rStyle w:val="Hyperlink"/>
            <w:noProof/>
          </w:rPr>
          <w:t>Proposal 11</w:t>
        </w:r>
        <w:r>
          <w:rPr>
            <w:rFonts w:asciiTheme="minorHAnsi" w:eastAsiaTheme="minorEastAsia" w:hAnsiTheme="minorHAnsi"/>
            <w:b w:val="0"/>
            <w:noProof/>
            <w:sz w:val="22"/>
            <w:lang w:val="en-SE" w:eastAsia="en-SE"/>
          </w:rPr>
          <w:tab/>
        </w:r>
        <w:r w:rsidRPr="00BE1B6D">
          <w:rPr>
            <w:rStyle w:val="Hyperlink"/>
            <w:noProof/>
          </w:rPr>
          <w:t>In every LTM measurement report, a measurement value from one primary candidate cell is included.</w:t>
        </w:r>
      </w:hyperlink>
    </w:p>
    <w:p w14:paraId="4BAD7FB5" w14:textId="67E837F9"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5" w:history="1">
        <w:r w:rsidRPr="00BE1B6D">
          <w:rPr>
            <w:rStyle w:val="Hyperlink"/>
            <w:noProof/>
          </w:rPr>
          <w:t>Proposal 12</w:t>
        </w:r>
        <w:r>
          <w:rPr>
            <w:rFonts w:asciiTheme="minorHAnsi" w:eastAsiaTheme="minorEastAsia" w:hAnsiTheme="minorHAnsi"/>
            <w:b w:val="0"/>
            <w:noProof/>
            <w:sz w:val="22"/>
            <w:lang w:val="en-SE" w:eastAsia="en-SE"/>
          </w:rPr>
          <w:tab/>
        </w:r>
        <w:r w:rsidRPr="00BE1B6D">
          <w:rPr>
            <w:rStyle w:val="Hyperlink"/>
            <w:noProof/>
          </w:rPr>
          <w:t>In an LTM measurement report, measurements on additional secondary candidates can be included.</w:t>
        </w:r>
      </w:hyperlink>
    </w:p>
    <w:p w14:paraId="5A092296" w14:textId="03696200"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6" w:history="1">
        <w:r w:rsidRPr="00BE1B6D">
          <w:rPr>
            <w:rStyle w:val="Hyperlink"/>
            <w:noProof/>
          </w:rPr>
          <w:t>Proposal 13</w:t>
        </w:r>
        <w:r>
          <w:rPr>
            <w:rFonts w:asciiTheme="minorHAnsi" w:eastAsiaTheme="minorEastAsia" w:hAnsiTheme="minorHAnsi"/>
            <w:b w:val="0"/>
            <w:noProof/>
            <w:sz w:val="22"/>
            <w:lang w:val="en-SE" w:eastAsia="en-SE"/>
          </w:rPr>
          <w:tab/>
        </w:r>
        <w:r w:rsidRPr="00BE1B6D">
          <w:rPr>
            <w:rStyle w:val="Hyperlink"/>
            <w:noProof/>
          </w:rPr>
          <w:t>Use the candidate configuration index as an identifier for the primary and secondary candidate cell measurement.</w:t>
        </w:r>
      </w:hyperlink>
    </w:p>
    <w:p w14:paraId="2B80BA8C" w14:textId="6BF2C125"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7" w:history="1">
        <w:r w:rsidRPr="00BE1B6D">
          <w:rPr>
            <w:rStyle w:val="Hyperlink"/>
            <w:noProof/>
          </w:rPr>
          <w:t>Proposal 14</w:t>
        </w:r>
        <w:r>
          <w:rPr>
            <w:rFonts w:asciiTheme="minorHAnsi" w:eastAsiaTheme="minorEastAsia" w:hAnsiTheme="minorHAnsi"/>
            <w:b w:val="0"/>
            <w:noProof/>
            <w:sz w:val="22"/>
            <w:lang w:val="en-SE" w:eastAsia="en-SE"/>
          </w:rPr>
          <w:tab/>
        </w:r>
        <w:r w:rsidRPr="00BE1B6D">
          <w:rPr>
            <w:rStyle w:val="Hyperlink"/>
            <w:noProof/>
          </w:rPr>
          <w:t>An SSB index is included in the primary and secondary candidate cell measurement.</w:t>
        </w:r>
      </w:hyperlink>
    </w:p>
    <w:p w14:paraId="04814F79" w14:textId="25CC4B0B"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8" w:history="1">
        <w:r w:rsidRPr="00BE1B6D">
          <w:rPr>
            <w:rStyle w:val="Hyperlink"/>
            <w:noProof/>
          </w:rPr>
          <w:t>Proposal 15</w:t>
        </w:r>
        <w:r>
          <w:rPr>
            <w:rFonts w:asciiTheme="minorHAnsi" w:eastAsiaTheme="minorEastAsia" w:hAnsiTheme="minorHAnsi"/>
            <w:b w:val="0"/>
            <w:noProof/>
            <w:sz w:val="22"/>
            <w:lang w:val="en-SE" w:eastAsia="en-SE"/>
          </w:rPr>
          <w:tab/>
        </w:r>
        <w:r w:rsidRPr="00BE1B6D">
          <w:rPr>
            <w:rStyle w:val="Hyperlink"/>
            <w:noProof/>
          </w:rPr>
          <w:t>All LTM reports are zero-padded to ensure that the payload is always 12 bits or larger.</w:t>
        </w:r>
      </w:hyperlink>
    </w:p>
    <w:p w14:paraId="6FD29ACA" w14:textId="0728C1EF"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89" w:history="1">
        <w:r w:rsidRPr="00BE1B6D">
          <w:rPr>
            <w:rStyle w:val="Hyperlink"/>
            <w:noProof/>
          </w:rPr>
          <w:t>Proposal 16</w:t>
        </w:r>
        <w:r>
          <w:rPr>
            <w:rFonts w:asciiTheme="minorHAnsi" w:eastAsiaTheme="minorEastAsia" w:hAnsiTheme="minorHAnsi"/>
            <w:b w:val="0"/>
            <w:noProof/>
            <w:sz w:val="22"/>
            <w:lang w:val="en-SE" w:eastAsia="en-SE"/>
          </w:rPr>
          <w:tab/>
        </w:r>
        <w:r w:rsidRPr="00BE1B6D">
          <w:rPr>
            <w:rStyle w:val="Hyperlink"/>
            <w:noProof/>
          </w:rPr>
          <w:t>Do not support CSI-RS as a measurement target for LTM.</w:t>
        </w:r>
      </w:hyperlink>
    </w:p>
    <w:p w14:paraId="7D891C4F" w14:textId="63683D2B"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90" w:history="1">
        <w:r w:rsidRPr="00BE1B6D">
          <w:rPr>
            <w:rStyle w:val="Hyperlink"/>
            <w:noProof/>
          </w:rPr>
          <w:t>Proposal 17</w:t>
        </w:r>
        <w:r>
          <w:rPr>
            <w:rFonts w:asciiTheme="minorHAnsi" w:eastAsiaTheme="minorEastAsia" w:hAnsiTheme="minorHAnsi"/>
            <w:b w:val="0"/>
            <w:noProof/>
            <w:sz w:val="22"/>
            <w:lang w:val="en-SE" w:eastAsia="en-SE"/>
          </w:rPr>
          <w:tab/>
        </w:r>
        <w:r w:rsidRPr="00BE1B6D">
          <w:rPr>
            <w:rStyle w:val="Hyperlink"/>
            <w:noProof/>
          </w:rPr>
          <w:t>Event-driven LTM reporting is not specified in Rel-18.</w:t>
        </w:r>
      </w:hyperlink>
    </w:p>
    <w:p w14:paraId="100FF651" w14:textId="57709302"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91" w:history="1">
        <w:r w:rsidRPr="00BE1B6D">
          <w:rPr>
            <w:rStyle w:val="Hyperlink"/>
            <w:noProof/>
            <w:lang w:val="en-GB"/>
          </w:rPr>
          <w:t>Proposal 18</w:t>
        </w:r>
        <w:r>
          <w:rPr>
            <w:rFonts w:asciiTheme="minorHAnsi" w:eastAsiaTheme="minorEastAsia" w:hAnsiTheme="minorHAnsi"/>
            <w:b w:val="0"/>
            <w:noProof/>
            <w:sz w:val="22"/>
            <w:lang w:val="en-SE" w:eastAsia="en-SE"/>
          </w:rPr>
          <w:tab/>
        </w:r>
        <w:r w:rsidRPr="00BE1B6D">
          <w:rPr>
            <w:rStyle w:val="Hyperlink"/>
            <w:noProof/>
            <w:lang w:val="en-GB"/>
          </w:rPr>
          <w:t>The DL synchronization enables the UE to receive PDCCH/PDSCH from the candidate cell without additional delay.</w:t>
        </w:r>
      </w:hyperlink>
    </w:p>
    <w:p w14:paraId="4F693F64" w14:textId="5294AF90"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92" w:history="1">
        <w:r w:rsidRPr="00BE1B6D">
          <w:rPr>
            <w:rStyle w:val="Hyperlink"/>
            <w:noProof/>
            <w:lang w:val="en-GB"/>
          </w:rPr>
          <w:t>Proposal 19</w:t>
        </w:r>
        <w:r>
          <w:rPr>
            <w:rFonts w:asciiTheme="minorHAnsi" w:eastAsiaTheme="minorEastAsia" w:hAnsiTheme="minorHAnsi"/>
            <w:b w:val="0"/>
            <w:noProof/>
            <w:sz w:val="22"/>
            <w:lang w:val="en-SE" w:eastAsia="en-SE"/>
          </w:rPr>
          <w:tab/>
        </w:r>
        <w:r w:rsidRPr="00BE1B6D">
          <w:rPr>
            <w:rStyle w:val="Hyperlink"/>
            <w:noProof/>
            <w:lang w:val="en-GB"/>
          </w:rPr>
          <w:t>Do not introduce any additional dedicated signalling to support DL pre-synchronization.</w:t>
        </w:r>
      </w:hyperlink>
    </w:p>
    <w:p w14:paraId="13B1C17D" w14:textId="4293876A"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93" w:history="1">
        <w:r w:rsidRPr="00BE1B6D">
          <w:rPr>
            <w:rStyle w:val="Hyperlink"/>
            <w:noProof/>
            <w:lang w:val="en-GB"/>
          </w:rPr>
          <w:t>Proposal 20</w:t>
        </w:r>
        <w:r>
          <w:rPr>
            <w:rFonts w:asciiTheme="minorHAnsi" w:eastAsiaTheme="minorEastAsia" w:hAnsiTheme="minorHAnsi"/>
            <w:b w:val="0"/>
            <w:noProof/>
            <w:sz w:val="22"/>
            <w:lang w:val="en-SE" w:eastAsia="en-SE"/>
          </w:rPr>
          <w:tab/>
        </w:r>
        <w:r w:rsidRPr="00BE1B6D">
          <w:rPr>
            <w:rStyle w:val="Hyperlink"/>
            <w:noProof/>
            <w:lang w:val="en-GB"/>
          </w:rPr>
          <w:t>The UE stores the QCL properties of a subset of the SSBs it measured and reported.</w:t>
        </w:r>
      </w:hyperlink>
    </w:p>
    <w:p w14:paraId="255889F1" w14:textId="2148DAA3" w:rsidR="00837713" w:rsidRDefault="00837713">
      <w:pPr>
        <w:pStyle w:val="TableofFigures"/>
        <w:tabs>
          <w:tab w:val="right" w:leader="dot" w:pos="9629"/>
        </w:tabs>
        <w:rPr>
          <w:rFonts w:asciiTheme="minorHAnsi" w:eastAsiaTheme="minorEastAsia" w:hAnsiTheme="minorHAnsi"/>
          <w:b w:val="0"/>
          <w:noProof/>
          <w:sz w:val="22"/>
          <w:lang w:val="en-SE" w:eastAsia="en-SE"/>
        </w:rPr>
      </w:pPr>
      <w:hyperlink w:anchor="_Toc131756594" w:history="1">
        <w:r w:rsidRPr="00BE1B6D">
          <w:rPr>
            <w:rStyle w:val="Hyperlink"/>
            <w:noProof/>
            <w:lang w:val="en-GB"/>
          </w:rPr>
          <w:t>Proposal 21</w:t>
        </w:r>
        <w:r>
          <w:rPr>
            <w:rFonts w:asciiTheme="minorHAnsi" w:eastAsiaTheme="minorEastAsia" w:hAnsiTheme="minorHAnsi"/>
            <w:b w:val="0"/>
            <w:noProof/>
            <w:sz w:val="22"/>
            <w:lang w:val="en-SE" w:eastAsia="en-SE"/>
          </w:rPr>
          <w:tab/>
        </w:r>
        <w:r w:rsidRPr="00BE1B6D">
          <w:rPr>
            <w:rStyle w:val="Hyperlink"/>
            <w:noProof/>
            <w:lang w:val="en-GB"/>
          </w:rPr>
          <w:t>A UE capable of LTM must be able to perform DL pre-synchronization to at least one candidate cell.</w:t>
        </w:r>
      </w:hyperlink>
    </w:p>
    <w:p w14:paraId="58ACA235" w14:textId="50B09880" w:rsidR="00C01F33" w:rsidRPr="002D421B" w:rsidRDefault="006E1C82" w:rsidP="002D421B">
      <w:pPr>
        <w:pStyle w:val="BodyText"/>
        <w:rPr>
          <w:b/>
          <w:bCs/>
        </w:rPr>
      </w:pPr>
      <w:r>
        <w:rPr>
          <w:b/>
          <w:bCs/>
        </w:rPr>
        <w:fldChar w:fldCharType="end"/>
      </w:r>
    </w:p>
    <w:p w14:paraId="71D79D99" w14:textId="77777777" w:rsidR="00F507D1" w:rsidRPr="00CE0424" w:rsidRDefault="00F507D1" w:rsidP="00CE0424">
      <w:pPr>
        <w:pStyle w:val="Heading1"/>
      </w:pPr>
      <w:bookmarkStart w:id="43" w:name="_In-sequence_SDU_delivery"/>
      <w:bookmarkEnd w:id="43"/>
      <w:r w:rsidRPr="00CE0424">
        <w:t>References</w:t>
      </w:r>
    </w:p>
    <w:p w14:paraId="38D61D86" w14:textId="6B0C3F3F" w:rsidR="00CE23AF" w:rsidRDefault="00CE23AF" w:rsidP="00311702">
      <w:pPr>
        <w:pStyle w:val="Reference"/>
      </w:pPr>
      <w:bookmarkStart w:id="44" w:name="_Ref114816142"/>
      <w:bookmarkStart w:id="45" w:name="_Ref174151459"/>
      <w:bookmarkStart w:id="46" w:name="_Ref189809556"/>
      <w:r w:rsidRPr="00CE23AF">
        <w:t>RP-213565</w:t>
      </w:r>
      <w:r>
        <w:t xml:space="preserve">, </w:t>
      </w:r>
      <w:r w:rsidRPr="00CE23AF">
        <w:t>New WID on Further NR mobility enhancements</w:t>
      </w:r>
      <w:r>
        <w:t>, MediaTek, RAN#94e, December 2021</w:t>
      </w:r>
      <w:bookmarkEnd w:id="44"/>
    </w:p>
    <w:p w14:paraId="4FE3554A" w14:textId="5596AC1D" w:rsidR="000261BA" w:rsidRDefault="000261BA" w:rsidP="000261BA">
      <w:pPr>
        <w:pStyle w:val="Reference"/>
      </w:pPr>
      <w:bookmarkStart w:id="47" w:name="_Ref114840333"/>
      <w:r w:rsidRPr="00FE1F4A">
        <w:lastRenderedPageBreak/>
        <w:t>R1-2208331</w:t>
      </w:r>
      <w:r>
        <w:t xml:space="preserve">, </w:t>
      </w:r>
      <w:r w:rsidRPr="00FE1F4A">
        <w:t>LS on L1/L2-based inter-cell mobility</w:t>
      </w:r>
      <w:r>
        <w:t>, RAN2, RAN2#119-e, August 2022</w:t>
      </w:r>
      <w:bookmarkEnd w:id="47"/>
    </w:p>
    <w:p w14:paraId="1055B5DF" w14:textId="1706D625" w:rsidR="0051082D" w:rsidRPr="007B562A" w:rsidRDefault="0051082D" w:rsidP="000261BA">
      <w:pPr>
        <w:pStyle w:val="Reference"/>
      </w:pPr>
      <w:bookmarkStart w:id="48" w:name="_Ref114839978"/>
      <w:r w:rsidRPr="007B562A">
        <w:t>R1-</w:t>
      </w:r>
      <w:r w:rsidRPr="00F12CE0">
        <w:t>2</w:t>
      </w:r>
      <w:r w:rsidR="00C96DE3" w:rsidRPr="00F12CE0">
        <w:t>3</w:t>
      </w:r>
      <w:r w:rsidR="00F12CE0" w:rsidRPr="00F12CE0">
        <w:t>0</w:t>
      </w:r>
      <w:r w:rsidR="001E2888">
        <w:t>2414</w:t>
      </w:r>
      <w:r w:rsidRPr="007B562A">
        <w:t>, Timing advance management to reduce latency, Ericsson, RAN1#11</w:t>
      </w:r>
      <w:r w:rsidR="00C96DE3">
        <w:t>2</w:t>
      </w:r>
      <w:r w:rsidR="00332F1B">
        <w:t>bis-e</w:t>
      </w:r>
      <w:r w:rsidRPr="007B562A">
        <w:t>,</w:t>
      </w:r>
      <w:r w:rsidR="00C96DE3">
        <w:t xml:space="preserve"> </w:t>
      </w:r>
      <w:r w:rsidR="00332F1B">
        <w:t>April</w:t>
      </w:r>
      <w:r w:rsidR="00C96DE3">
        <w:t xml:space="preserve"> 2023</w:t>
      </w:r>
      <w:bookmarkEnd w:id="48"/>
    </w:p>
    <w:p w14:paraId="20958B31" w14:textId="75BAD581" w:rsidR="00E10E36" w:rsidRDefault="00E10E36" w:rsidP="00E10E36">
      <w:pPr>
        <w:pStyle w:val="Reference"/>
      </w:pPr>
      <w:bookmarkStart w:id="49" w:name="_Ref118192366"/>
      <w:bookmarkStart w:id="50" w:name="_Ref115329922"/>
      <w:r w:rsidRPr="00E10E36">
        <w:t>R2-2211061</w:t>
      </w:r>
      <w:r>
        <w:t xml:space="preserve">, </w:t>
      </w:r>
      <w:r w:rsidRPr="004C4F1C">
        <w:t>LS on RAN2 agreements about L1/L2-triggered mobility (LTM)</w:t>
      </w:r>
      <w:r>
        <w:t>, RAN2, RAN2#119bis-e, October 2022</w:t>
      </w:r>
      <w:bookmarkEnd w:id="49"/>
    </w:p>
    <w:p w14:paraId="1B9DBE29" w14:textId="31EF6504" w:rsidR="00797F1D" w:rsidRPr="006E2052" w:rsidRDefault="00DC681A" w:rsidP="00E10E36">
      <w:pPr>
        <w:pStyle w:val="Reference"/>
      </w:pPr>
      <w:bookmarkStart w:id="51" w:name="_Ref118213571"/>
      <w:r w:rsidRPr="006E2052">
        <w:t xml:space="preserve">R1-1716375, </w:t>
      </w:r>
      <w:r w:rsidR="00F32AD9" w:rsidRPr="006E2052">
        <w:t>Details on TRS design, Ericsson, 3GPP TSG-RAN WG1 Meeting #NR3, September 2017</w:t>
      </w:r>
      <w:bookmarkEnd w:id="51"/>
      <w:r w:rsidRPr="006E2052">
        <w:t xml:space="preserve">  </w:t>
      </w:r>
    </w:p>
    <w:p w14:paraId="189558D6" w14:textId="2CD5C93A" w:rsidR="001257BF" w:rsidRDefault="001257BF" w:rsidP="00DD352C">
      <w:pPr>
        <w:pStyle w:val="Reference"/>
      </w:pPr>
      <w:r>
        <w:t>TS 38.215, NR; Physical layer measurements, RAN#97-e, v 17.2.0, September 2022</w:t>
      </w:r>
      <w:bookmarkEnd w:id="50"/>
    </w:p>
    <w:p w14:paraId="4B5884B5" w14:textId="21357B6C" w:rsidR="00F245DD" w:rsidRDefault="00F245DD" w:rsidP="00536F9A">
      <w:pPr>
        <w:pStyle w:val="Reference"/>
      </w:pPr>
      <w:bookmarkStart w:id="52" w:name="_Ref115330647"/>
      <w:r>
        <w:t>TS 38.133, NR; Requirements for support of radio resource management, RAN#96, V 17.6.0, June 2022</w:t>
      </w:r>
      <w:bookmarkEnd w:id="52"/>
    </w:p>
    <w:p w14:paraId="03F87773" w14:textId="0A30ABCC" w:rsidR="00AD6FA8" w:rsidRDefault="00537911" w:rsidP="00536F9A">
      <w:pPr>
        <w:pStyle w:val="Reference"/>
      </w:pPr>
      <w:bookmarkStart w:id="53" w:name="_Ref126243726"/>
      <w:r w:rsidRPr="00537911">
        <w:t>R1-2300007</w:t>
      </w:r>
      <w:r>
        <w:t xml:space="preserve">, </w:t>
      </w:r>
      <w:r w:rsidR="002471E0" w:rsidRPr="002471E0">
        <w:t>Reply LS on L1 intra- and inter- frequency measurement and configurations for L1/L2-based inter-cell mobility</w:t>
      </w:r>
      <w:r w:rsidR="002471E0">
        <w:t>, RAN3, RAN3#118, August 2022</w:t>
      </w:r>
      <w:bookmarkEnd w:id="53"/>
    </w:p>
    <w:p w14:paraId="686C4D39" w14:textId="32BF722B" w:rsidR="002471E0" w:rsidRDefault="00A4481A" w:rsidP="00536F9A">
      <w:pPr>
        <w:pStyle w:val="Reference"/>
      </w:pPr>
      <w:bookmarkStart w:id="54" w:name="_Ref126243756"/>
      <w:r w:rsidRPr="00A4481A">
        <w:t>R1-2300014</w:t>
      </w:r>
      <w:r>
        <w:t xml:space="preserve">, </w:t>
      </w:r>
      <w:r w:rsidR="00461DA1" w:rsidRPr="00461DA1">
        <w:t>Reply LS on L1 measurement and configurations for LTM</w:t>
      </w:r>
      <w:r w:rsidR="003A0B51">
        <w:t>, RAN2, RAN2#120, August 2022</w:t>
      </w:r>
      <w:bookmarkEnd w:id="54"/>
    </w:p>
    <w:bookmarkEnd w:id="45"/>
    <w:bookmarkEnd w:id="46"/>
    <w:p w14:paraId="715CA09B" w14:textId="77777777" w:rsidR="003A7EF3" w:rsidRPr="00CE0424" w:rsidRDefault="003A7EF3" w:rsidP="001257BF">
      <w:pPr>
        <w:pStyle w:val="Observation"/>
        <w:numPr>
          <w:ilvl w:val="0"/>
          <w:numId w:val="0"/>
        </w:numPr>
        <w:ind w:left="1701"/>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A62DF" w14:textId="77777777" w:rsidR="00B36334" w:rsidRDefault="00B36334">
      <w:r>
        <w:separator/>
      </w:r>
    </w:p>
  </w:endnote>
  <w:endnote w:type="continuationSeparator" w:id="0">
    <w:p w14:paraId="5B3C0B47" w14:textId="77777777" w:rsidR="00B36334" w:rsidRDefault="00B36334">
      <w:r>
        <w:continuationSeparator/>
      </w:r>
    </w:p>
  </w:endnote>
  <w:endnote w:type="continuationNotice" w:id="1">
    <w:p w14:paraId="1ACCC109" w14:textId="77777777" w:rsidR="00B36334" w:rsidRDefault="00B36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4990D" w14:textId="77777777" w:rsidR="00B36334" w:rsidRDefault="00B36334">
      <w:r>
        <w:separator/>
      </w:r>
    </w:p>
  </w:footnote>
  <w:footnote w:type="continuationSeparator" w:id="0">
    <w:p w14:paraId="5947C61A" w14:textId="77777777" w:rsidR="00B36334" w:rsidRDefault="00B36334">
      <w:r>
        <w:continuationSeparator/>
      </w:r>
    </w:p>
  </w:footnote>
  <w:footnote w:type="continuationNotice" w:id="1">
    <w:p w14:paraId="41510A2D" w14:textId="77777777" w:rsidR="00B36334" w:rsidRDefault="00B363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EE05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36C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031A28"/>
    <w:multiLevelType w:val="hybridMultilevel"/>
    <w:tmpl w:val="C78AAFE2"/>
    <w:lvl w:ilvl="0" w:tplc="8D6E4A9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E7D4F"/>
    <w:multiLevelType w:val="hybridMultilevel"/>
    <w:tmpl w:val="A2869B68"/>
    <w:lvl w:ilvl="0" w:tplc="9A3C7C9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023619"/>
    <w:multiLevelType w:val="hybridMultilevel"/>
    <w:tmpl w:val="3A52D7E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F09BF"/>
    <w:multiLevelType w:val="hybridMultilevel"/>
    <w:tmpl w:val="3C2CD422"/>
    <w:lvl w:ilvl="0" w:tplc="C7441898">
      <w:start w:val="1"/>
      <w:numFmt w:val="bullet"/>
      <w:lvlText w:val="–"/>
      <w:lvlJc w:val="left"/>
      <w:pPr>
        <w:tabs>
          <w:tab w:val="num" w:pos="720"/>
        </w:tabs>
        <w:ind w:left="720" w:hanging="360"/>
      </w:pPr>
      <w:rPr>
        <w:rFonts w:ascii="Ericsson Hilda" w:hAnsi="Ericsson Hilda" w:hint="default"/>
      </w:rPr>
    </w:lvl>
    <w:lvl w:ilvl="1" w:tplc="CFAC971E">
      <w:start w:val="1"/>
      <w:numFmt w:val="bullet"/>
      <w:lvlText w:val="–"/>
      <w:lvlJc w:val="left"/>
      <w:pPr>
        <w:tabs>
          <w:tab w:val="num" w:pos="1440"/>
        </w:tabs>
        <w:ind w:left="1440" w:hanging="360"/>
      </w:pPr>
      <w:rPr>
        <w:rFonts w:ascii="Ericsson Hilda" w:hAnsi="Ericsson Hilda" w:hint="default"/>
      </w:rPr>
    </w:lvl>
    <w:lvl w:ilvl="2" w:tplc="F99A2668">
      <w:numFmt w:val="bullet"/>
      <w:lvlText w:val="●"/>
      <w:lvlJc w:val="left"/>
      <w:pPr>
        <w:tabs>
          <w:tab w:val="num" w:pos="2160"/>
        </w:tabs>
        <w:ind w:left="2160" w:hanging="360"/>
      </w:pPr>
      <w:rPr>
        <w:rFonts w:ascii="Ericsson Hilda" w:hAnsi="Ericsson Hilda" w:hint="default"/>
      </w:rPr>
    </w:lvl>
    <w:lvl w:ilvl="3" w:tplc="CA84C7B2" w:tentative="1">
      <w:start w:val="1"/>
      <w:numFmt w:val="bullet"/>
      <w:lvlText w:val="–"/>
      <w:lvlJc w:val="left"/>
      <w:pPr>
        <w:tabs>
          <w:tab w:val="num" w:pos="2880"/>
        </w:tabs>
        <w:ind w:left="2880" w:hanging="360"/>
      </w:pPr>
      <w:rPr>
        <w:rFonts w:ascii="Ericsson Hilda" w:hAnsi="Ericsson Hilda" w:hint="default"/>
      </w:rPr>
    </w:lvl>
    <w:lvl w:ilvl="4" w:tplc="8AA0B968" w:tentative="1">
      <w:start w:val="1"/>
      <w:numFmt w:val="bullet"/>
      <w:lvlText w:val="–"/>
      <w:lvlJc w:val="left"/>
      <w:pPr>
        <w:tabs>
          <w:tab w:val="num" w:pos="3600"/>
        </w:tabs>
        <w:ind w:left="3600" w:hanging="360"/>
      </w:pPr>
      <w:rPr>
        <w:rFonts w:ascii="Ericsson Hilda" w:hAnsi="Ericsson Hilda" w:hint="default"/>
      </w:rPr>
    </w:lvl>
    <w:lvl w:ilvl="5" w:tplc="56242D8C" w:tentative="1">
      <w:start w:val="1"/>
      <w:numFmt w:val="bullet"/>
      <w:lvlText w:val="–"/>
      <w:lvlJc w:val="left"/>
      <w:pPr>
        <w:tabs>
          <w:tab w:val="num" w:pos="4320"/>
        </w:tabs>
        <w:ind w:left="4320" w:hanging="360"/>
      </w:pPr>
      <w:rPr>
        <w:rFonts w:ascii="Ericsson Hilda" w:hAnsi="Ericsson Hilda" w:hint="default"/>
      </w:rPr>
    </w:lvl>
    <w:lvl w:ilvl="6" w:tplc="BDFA92DA" w:tentative="1">
      <w:start w:val="1"/>
      <w:numFmt w:val="bullet"/>
      <w:lvlText w:val="–"/>
      <w:lvlJc w:val="left"/>
      <w:pPr>
        <w:tabs>
          <w:tab w:val="num" w:pos="5040"/>
        </w:tabs>
        <w:ind w:left="5040" w:hanging="360"/>
      </w:pPr>
      <w:rPr>
        <w:rFonts w:ascii="Ericsson Hilda" w:hAnsi="Ericsson Hilda" w:hint="default"/>
      </w:rPr>
    </w:lvl>
    <w:lvl w:ilvl="7" w:tplc="3D068766" w:tentative="1">
      <w:start w:val="1"/>
      <w:numFmt w:val="bullet"/>
      <w:lvlText w:val="–"/>
      <w:lvlJc w:val="left"/>
      <w:pPr>
        <w:tabs>
          <w:tab w:val="num" w:pos="5760"/>
        </w:tabs>
        <w:ind w:left="5760" w:hanging="360"/>
      </w:pPr>
      <w:rPr>
        <w:rFonts w:ascii="Ericsson Hilda" w:hAnsi="Ericsson Hilda" w:hint="default"/>
      </w:rPr>
    </w:lvl>
    <w:lvl w:ilvl="8" w:tplc="C2CEE47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9092020"/>
    <w:multiLevelType w:val="hybridMultilevel"/>
    <w:tmpl w:val="CF80E478"/>
    <w:lvl w:ilvl="0" w:tplc="B9DA95F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E95C88"/>
    <w:multiLevelType w:val="hybridMultilevel"/>
    <w:tmpl w:val="309E6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AB2958"/>
    <w:multiLevelType w:val="hybridMultilevel"/>
    <w:tmpl w:val="8104D954"/>
    <w:lvl w:ilvl="0" w:tplc="1562C4A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1155699">
    <w:abstractNumId w:val="3"/>
  </w:num>
  <w:num w:numId="2" w16cid:durableId="460420586">
    <w:abstractNumId w:val="25"/>
  </w:num>
  <w:num w:numId="3" w16cid:durableId="1580015060">
    <w:abstractNumId w:val="17"/>
  </w:num>
  <w:num w:numId="4" w16cid:durableId="2103182345">
    <w:abstractNumId w:val="19"/>
  </w:num>
  <w:num w:numId="5" w16cid:durableId="299463343">
    <w:abstractNumId w:val="13"/>
  </w:num>
  <w:num w:numId="6" w16cid:durableId="827986662">
    <w:abstractNumId w:val="22"/>
  </w:num>
  <w:num w:numId="7" w16cid:durableId="1632519352">
    <w:abstractNumId w:val="29"/>
  </w:num>
  <w:num w:numId="8" w16cid:durableId="137694924">
    <w:abstractNumId w:val="14"/>
  </w:num>
  <w:num w:numId="9" w16cid:durableId="1274243879">
    <w:abstractNumId w:val="11"/>
  </w:num>
  <w:num w:numId="10" w16cid:durableId="1203322297">
    <w:abstractNumId w:val="2"/>
  </w:num>
  <w:num w:numId="11" w16cid:durableId="1515001017">
    <w:abstractNumId w:val="1"/>
  </w:num>
  <w:num w:numId="12" w16cid:durableId="862982588">
    <w:abstractNumId w:val="0"/>
  </w:num>
  <w:num w:numId="13" w16cid:durableId="1657613543">
    <w:abstractNumId w:val="26"/>
  </w:num>
  <w:num w:numId="14" w16cid:durableId="1345012350">
    <w:abstractNumId w:val="28"/>
  </w:num>
  <w:num w:numId="15" w16cid:durableId="2080403428">
    <w:abstractNumId w:val="21"/>
  </w:num>
  <w:num w:numId="16" w16cid:durableId="178399809">
    <w:abstractNumId w:val="30"/>
  </w:num>
  <w:num w:numId="17" w16cid:durableId="862716493">
    <w:abstractNumId w:val="8"/>
  </w:num>
  <w:num w:numId="18" w16cid:durableId="462889018">
    <w:abstractNumId w:val="10"/>
  </w:num>
  <w:num w:numId="19" w16cid:durableId="633564117">
    <w:abstractNumId w:val="6"/>
  </w:num>
  <w:num w:numId="20" w16cid:durableId="766855080">
    <w:abstractNumId w:val="37"/>
  </w:num>
  <w:num w:numId="21" w16cid:durableId="1509514844">
    <w:abstractNumId w:val="15"/>
  </w:num>
  <w:num w:numId="22" w16cid:durableId="2018342559">
    <w:abstractNumId w:val="34"/>
  </w:num>
  <w:num w:numId="23" w16cid:durableId="473569875">
    <w:abstractNumId w:val="35"/>
  </w:num>
  <w:num w:numId="24" w16cid:durableId="277881241">
    <w:abstractNumId w:val="27"/>
  </w:num>
  <w:num w:numId="25" w16cid:durableId="639265632">
    <w:abstractNumId w:val="4"/>
  </w:num>
  <w:num w:numId="26" w16cid:durableId="1121731713">
    <w:abstractNumId w:val="31"/>
  </w:num>
  <w:num w:numId="27" w16cid:durableId="1064917157">
    <w:abstractNumId w:val="33"/>
  </w:num>
  <w:num w:numId="28" w16cid:durableId="1612205553">
    <w:abstractNumId w:val="23"/>
  </w:num>
  <w:num w:numId="29" w16cid:durableId="1484738690">
    <w:abstractNumId w:val="16"/>
  </w:num>
  <w:num w:numId="30" w16cid:durableId="918445439">
    <w:abstractNumId w:val="24"/>
  </w:num>
  <w:num w:numId="31" w16cid:durableId="1092553599">
    <w:abstractNumId w:val="20"/>
  </w:num>
  <w:num w:numId="32" w16cid:durableId="495263076">
    <w:abstractNumId w:val="35"/>
  </w:num>
  <w:num w:numId="33" w16cid:durableId="1077554555">
    <w:abstractNumId w:val="5"/>
  </w:num>
  <w:num w:numId="34" w16cid:durableId="873232442">
    <w:abstractNumId w:val="17"/>
  </w:num>
  <w:num w:numId="35" w16cid:durableId="1935892256">
    <w:abstractNumId w:val="18"/>
    <w:lvlOverride w:ilvl="0"/>
    <w:lvlOverride w:ilvl="1">
      <w:startOverride w:val="1"/>
    </w:lvlOverride>
    <w:lvlOverride w:ilvl="2"/>
    <w:lvlOverride w:ilvl="3"/>
    <w:lvlOverride w:ilvl="4"/>
    <w:lvlOverride w:ilvl="5"/>
    <w:lvlOverride w:ilvl="6"/>
    <w:lvlOverride w:ilvl="7"/>
    <w:lvlOverride w:ilvl="8"/>
  </w:num>
  <w:num w:numId="36" w16cid:durableId="26220779">
    <w:abstractNumId w:val="12"/>
  </w:num>
  <w:num w:numId="37" w16cid:durableId="284654521">
    <w:abstractNumId w:val="9"/>
  </w:num>
  <w:num w:numId="38" w16cid:durableId="396325203">
    <w:abstractNumId w:val="36"/>
  </w:num>
  <w:num w:numId="39" w16cid:durableId="1315987196">
    <w:abstractNumId w:val="7"/>
  </w:num>
  <w:num w:numId="40" w16cid:durableId="54938913">
    <w:abstractNumId w:val="32"/>
  </w:num>
  <w:num w:numId="41" w16cid:durableId="1675180333">
    <w:abstractNumId w:val="38"/>
  </w:num>
  <w:num w:numId="42" w16cid:durableId="1102410579">
    <w:abstractNumId w:val="36"/>
  </w:num>
  <w:num w:numId="43" w16cid:durableId="1065223186">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5F"/>
    <w:rsid w:val="00002131"/>
    <w:rsid w:val="00002A37"/>
    <w:rsid w:val="00003290"/>
    <w:rsid w:val="00003BE4"/>
    <w:rsid w:val="0000564C"/>
    <w:rsid w:val="00006446"/>
    <w:rsid w:val="00006896"/>
    <w:rsid w:val="000070A9"/>
    <w:rsid w:val="00007CDC"/>
    <w:rsid w:val="00011B28"/>
    <w:rsid w:val="00012644"/>
    <w:rsid w:val="00015D15"/>
    <w:rsid w:val="00021368"/>
    <w:rsid w:val="0002564D"/>
    <w:rsid w:val="00025ECA"/>
    <w:rsid w:val="000261BA"/>
    <w:rsid w:val="000325B8"/>
    <w:rsid w:val="00034C15"/>
    <w:rsid w:val="00036BA1"/>
    <w:rsid w:val="000422E2"/>
    <w:rsid w:val="00042F22"/>
    <w:rsid w:val="00043D01"/>
    <w:rsid w:val="000444EF"/>
    <w:rsid w:val="00052A07"/>
    <w:rsid w:val="000534E3"/>
    <w:rsid w:val="0005606A"/>
    <w:rsid w:val="000566FE"/>
    <w:rsid w:val="00057117"/>
    <w:rsid w:val="000616E7"/>
    <w:rsid w:val="0006479F"/>
    <w:rsid w:val="0006487E"/>
    <w:rsid w:val="0006526C"/>
    <w:rsid w:val="00065E1A"/>
    <w:rsid w:val="0006627F"/>
    <w:rsid w:val="000765C0"/>
    <w:rsid w:val="00077E5F"/>
    <w:rsid w:val="0008036A"/>
    <w:rsid w:val="00081AE6"/>
    <w:rsid w:val="000855EB"/>
    <w:rsid w:val="00085B52"/>
    <w:rsid w:val="00085E31"/>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A6"/>
    <w:rsid w:val="000C165A"/>
    <w:rsid w:val="000C2E19"/>
    <w:rsid w:val="000D0D07"/>
    <w:rsid w:val="000D4797"/>
    <w:rsid w:val="000D65D8"/>
    <w:rsid w:val="000E0527"/>
    <w:rsid w:val="000E1E92"/>
    <w:rsid w:val="000E2A16"/>
    <w:rsid w:val="000E46D6"/>
    <w:rsid w:val="000F06D6"/>
    <w:rsid w:val="000F0EB1"/>
    <w:rsid w:val="000F1106"/>
    <w:rsid w:val="000F3BE9"/>
    <w:rsid w:val="000F3F6C"/>
    <w:rsid w:val="000F5906"/>
    <w:rsid w:val="000F6DF3"/>
    <w:rsid w:val="001005FF"/>
    <w:rsid w:val="00101D2A"/>
    <w:rsid w:val="001062FB"/>
    <w:rsid w:val="001063E6"/>
    <w:rsid w:val="00113CF4"/>
    <w:rsid w:val="00113E07"/>
    <w:rsid w:val="001153EA"/>
    <w:rsid w:val="00115643"/>
    <w:rsid w:val="00116765"/>
    <w:rsid w:val="001207E7"/>
    <w:rsid w:val="001219F5"/>
    <w:rsid w:val="00121A20"/>
    <w:rsid w:val="00122ABA"/>
    <w:rsid w:val="0012377F"/>
    <w:rsid w:val="00124314"/>
    <w:rsid w:val="00125798"/>
    <w:rsid w:val="001257BF"/>
    <w:rsid w:val="00126B4A"/>
    <w:rsid w:val="0012715B"/>
    <w:rsid w:val="00131337"/>
    <w:rsid w:val="00132FD0"/>
    <w:rsid w:val="001344C0"/>
    <w:rsid w:val="001346FA"/>
    <w:rsid w:val="00135252"/>
    <w:rsid w:val="00137AB5"/>
    <w:rsid w:val="00137F0B"/>
    <w:rsid w:val="00141F53"/>
    <w:rsid w:val="00144237"/>
    <w:rsid w:val="0014465B"/>
    <w:rsid w:val="001450C4"/>
    <w:rsid w:val="00145E23"/>
    <w:rsid w:val="00151E23"/>
    <w:rsid w:val="001526E0"/>
    <w:rsid w:val="00152ED7"/>
    <w:rsid w:val="001551B5"/>
    <w:rsid w:val="001615A1"/>
    <w:rsid w:val="001659C1"/>
    <w:rsid w:val="00173A8E"/>
    <w:rsid w:val="0017502C"/>
    <w:rsid w:val="00177C4D"/>
    <w:rsid w:val="0018143F"/>
    <w:rsid w:val="00181FF8"/>
    <w:rsid w:val="00190AC1"/>
    <w:rsid w:val="0019341A"/>
    <w:rsid w:val="00195D4F"/>
    <w:rsid w:val="00196236"/>
    <w:rsid w:val="00197DF9"/>
    <w:rsid w:val="001A1987"/>
    <w:rsid w:val="001A2564"/>
    <w:rsid w:val="001A6173"/>
    <w:rsid w:val="001A6CBA"/>
    <w:rsid w:val="001B0D97"/>
    <w:rsid w:val="001B5A5D"/>
    <w:rsid w:val="001C0829"/>
    <w:rsid w:val="001C1CE5"/>
    <w:rsid w:val="001C3D2A"/>
    <w:rsid w:val="001D0514"/>
    <w:rsid w:val="001D51BA"/>
    <w:rsid w:val="001D53E7"/>
    <w:rsid w:val="001D6342"/>
    <w:rsid w:val="001D6D53"/>
    <w:rsid w:val="001D71C5"/>
    <w:rsid w:val="001E2888"/>
    <w:rsid w:val="001E4F01"/>
    <w:rsid w:val="001E58E2"/>
    <w:rsid w:val="001E677E"/>
    <w:rsid w:val="001E7AED"/>
    <w:rsid w:val="001F25B6"/>
    <w:rsid w:val="001F3916"/>
    <w:rsid w:val="001F445B"/>
    <w:rsid w:val="001F54C5"/>
    <w:rsid w:val="001F662C"/>
    <w:rsid w:val="001F7074"/>
    <w:rsid w:val="00200490"/>
    <w:rsid w:val="00201F3A"/>
    <w:rsid w:val="00203F96"/>
    <w:rsid w:val="002069B2"/>
    <w:rsid w:val="00207FA3"/>
    <w:rsid w:val="00210356"/>
    <w:rsid w:val="00214DA8"/>
    <w:rsid w:val="00215423"/>
    <w:rsid w:val="002158FA"/>
    <w:rsid w:val="00215CD7"/>
    <w:rsid w:val="00220600"/>
    <w:rsid w:val="00221DF9"/>
    <w:rsid w:val="0022243E"/>
    <w:rsid w:val="002224DB"/>
    <w:rsid w:val="00223FCB"/>
    <w:rsid w:val="002252C3"/>
    <w:rsid w:val="00225C54"/>
    <w:rsid w:val="00230765"/>
    <w:rsid w:val="00230D18"/>
    <w:rsid w:val="002319E4"/>
    <w:rsid w:val="00235632"/>
    <w:rsid w:val="00235872"/>
    <w:rsid w:val="00241559"/>
    <w:rsid w:val="002419E5"/>
    <w:rsid w:val="00241C24"/>
    <w:rsid w:val="002435B3"/>
    <w:rsid w:val="002456B5"/>
    <w:rsid w:val="002458EB"/>
    <w:rsid w:val="002471E0"/>
    <w:rsid w:val="002500C8"/>
    <w:rsid w:val="00257543"/>
    <w:rsid w:val="002617E7"/>
    <w:rsid w:val="00262EE5"/>
    <w:rsid w:val="00264228"/>
    <w:rsid w:val="00264334"/>
    <w:rsid w:val="002644E7"/>
    <w:rsid w:val="0026473E"/>
    <w:rsid w:val="00266214"/>
    <w:rsid w:val="00267C83"/>
    <w:rsid w:val="0027144F"/>
    <w:rsid w:val="00271813"/>
    <w:rsid w:val="00271F3A"/>
    <w:rsid w:val="00273278"/>
    <w:rsid w:val="002737F4"/>
    <w:rsid w:val="002749DD"/>
    <w:rsid w:val="002805F5"/>
    <w:rsid w:val="00280751"/>
    <w:rsid w:val="0028280A"/>
    <w:rsid w:val="0028341E"/>
    <w:rsid w:val="002859E9"/>
    <w:rsid w:val="00286ACD"/>
    <w:rsid w:val="00287838"/>
    <w:rsid w:val="002907B5"/>
    <w:rsid w:val="002910CD"/>
    <w:rsid w:val="00292EB7"/>
    <w:rsid w:val="00296227"/>
    <w:rsid w:val="0029696B"/>
    <w:rsid w:val="00296F44"/>
    <w:rsid w:val="0029777D"/>
    <w:rsid w:val="002A055E"/>
    <w:rsid w:val="002A1D4E"/>
    <w:rsid w:val="002A2869"/>
    <w:rsid w:val="002A4B8E"/>
    <w:rsid w:val="002A578E"/>
    <w:rsid w:val="002A7020"/>
    <w:rsid w:val="002B0ED6"/>
    <w:rsid w:val="002B24D6"/>
    <w:rsid w:val="002B741D"/>
    <w:rsid w:val="002C3343"/>
    <w:rsid w:val="002C41E6"/>
    <w:rsid w:val="002C4882"/>
    <w:rsid w:val="002C5ADA"/>
    <w:rsid w:val="002D071A"/>
    <w:rsid w:val="002D1E13"/>
    <w:rsid w:val="002D34B2"/>
    <w:rsid w:val="002D421B"/>
    <w:rsid w:val="002D48B0"/>
    <w:rsid w:val="002D5B37"/>
    <w:rsid w:val="002D7637"/>
    <w:rsid w:val="002E17F2"/>
    <w:rsid w:val="002E2A09"/>
    <w:rsid w:val="002E7CAE"/>
    <w:rsid w:val="002F0F68"/>
    <w:rsid w:val="002F13E4"/>
    <w:rsid w:val="002F2771"/>
    <w:rsid w:val="002F37A9"/>
    <w:rsid w:val="00301CE6"/>
    <w:rsid w:val="0030256B"/>
    <w:rsid w:val="0030501F"/>
    <w:rsid w:val="00307BA1"/>
    <w:rsid w:val="00311702"/>
    <w:rsid w:val="00311E82"/>
    <w:rsid w:val="00313FD6"/>
    <w:rsid w:val="003143BD"/>
    <w:rsid w:val="00315363"/>
    <w:rsid w:val="003164BA"/>
    <w:rsid w:val="003203ED"/>
    <w:rsid w:val="00322C9F"/>
    <w:rsid w:val="00323D7E"/>
    <w:rsid w:val="00324D23"/>
    <w:rsid w:val="0033083A"/>
    <w:rsid w:val="0033134A"/>
    <w:rsid w:val="00331751"/>
    <w:rsid w:val="00332574"/>
    <w:rsid w:val="00332F1B"/>
    <w:rsid w:val="00334579"/>
    <w:rsid w:val="00335858"/>
    <w:rsid w:val="00336BDA"/>
    <w:rsid w:val="00341A46"/>
    <w:rsid w:val="00342BD7"/>
    <w:rsid w:val="00346DB5"/>
    <w:rsid w:val="003477B1"/>
    <w:rsid w:val="00357380"/>
    <w:rsid w:val="0036013C"/>
    <w:rsid w:val="003602D9"/>
    <w:rsid w:val="003604CE"/>
    <w:rsid w:val="00370826"/>
    <w:rsid w:val="00370E47"/>
    <w:rsid w:val="0037204F"/>
    <w:rsid w:val="0037334F"/>
    <w:rsid w:val="003742AC"/>
    <w:rsid w:val="00377CE1"/>
    <w:rsid w:val="00385BF0"/>
    <w:rsid w:val="003939FF"/>
    <w:rsid w:val="00397F9B"/>
    <w:rsid w:val="003A048C"/>
    <w:rsid w:val="003A0B51"/>
    <w:rsid w:val="003A2223"/>
    <w:rsid w:val="003A2A0F"/>
    <w:rsid w:val="003A45A1"/>
    <w:rsid w:val="003A5B0A"/>
    <w:rsid w:val="003A6BAC"/>
    <w:rsid w:val="003A70A4"/>
    <w:rsid w:val="003A7EF3"/>
    <w:rsid w:val="003B159C"/>
    <w:rsid w:val="003B369F"/>
    <w:rsid w:val="003B36A3"/>
    <w:rsid w:val="003B64BB"/>
    <w:rsid w:val="003B7331"/>
    <w:rsid w:val="003B7D3E"/>
    <w:rsid w:val="003B7FE5"/>
    <w:rsid w:val="003C11C8"/>
    <w:rsid w:val="003C1B1F"/>
    <w:rsid w:val="003C2702"/>
    <w:rsid w:val="003C587F"/>
    <w:rsid w:val="003C67B8"/>
    <w:rsid w:val="003C6FA1"/>
    <w:rsid w:val="003C7806"/>
    <w:rsid w:val="003D109F"/>
    <w:rsid w:val="003D2478"/>
    <w:rsid w:val="003D3C45"/>
    <w:rsid w:val="003D5902"/>
    <w:rsid w:val="003D5B1F"/>
    <w:rsid w:val="003E15FA"/>
    <w:rsid w:val="003E1F56"/>
    <w:rsid w:val="003E39CB"/>
    <w:rsid w:val="003E55E4"/>
    <w:rsid w:val="003E74E3"/>
    <w:rsid w:val="003E7610"/>
    <w:rsid w:val="003E7994"/>
    <w:rsid w:val="003F05C7"/>
    <w:rsid w:val="003F2CD4"/>
    <w:rsid w:val="003F6BBE"/>
    <w:rsid w:val="004000E8"/>
    <w:rsid w:val="00401520"/>
    <w:rsid w:val="0040192D"/>
    <w:rsid w:val="00402E2B"/>
    <w:rsid w:val="0040512B"/>
    <w:rsid w:val="00405CA5"/>
    <w:rsid w:val="00407CD3"/>
    <w:rsid w:val="00410134"/>
    <w:rsid w:val="00410B72"/>
    <w:rsid w:val="00410F18"/>
    <w:rsid w:val="004116CF"/>
    <w:rsid w:val="0041263E"/>
    <w:rsid w:val="00413AAC"/>
    <w:rsid w:val="00413E92"/>
    <w:rsid w:val="00415EDE"/>
    <w:rsid w:val="00421105"/>
    <w:rsid w:val="00421A71"/>
    <w:rsid w:val="00422AA4"/>
    <w:rsid w:val="004242F4"/>
    <w:rsid w:val="00425494"/>
    <w:rsid w:val="00427248"/>
    <w:rsid w:val="00433FEE"/>
    <w:rsid w:val="00435785"/>
    <w:rsid w:val="00437447"/>
    <w:rsid w:val="00441A92"/>
    <w:rsid w:val="004431DC"/>
    <w:rsid w:val="00444F56"/>
    <w:rsid w:val="00446488"/>
    <w:rsid w:val="004517AA"/>
    <w:rsid w:val="004526DD"/>
    <w:rsid w:val="00452CAC"/>
    <w:rsid w:val="0045565E"/>
    <w:rsid w:val="004570D8"/>
    <w:rsid w:val="00457565"/>
    <w:rsid w:val="00457B71"/>
    <w:rsid w:val="00461DA1"/>
    <w:rsid w:val="00464689"/>
    <w:rsid w:val="004669E2"/>
    <w:rsid w:val="00470C31"/>
    <w:rsid w:val="0047116E"/>
    <w:rsid w:val="00471AEA"/>
    <w:rsid w:val="00471C0A"/>
    <w:rsid w:val="00471DE0"/>
    <w:rsid w:val="004734D0"/>
    <w:rsid w:val="004749EA"/>
    <w:rsid w:val="0047556B"/>
    <w:rsid w:val="00477768"/>
    <w:rsid w:val="0048178B"/>
    <w:rsid w:val="0048552E"/>
    <w:rsid w:val="004904A4"/>
    <w:rsid w:val="00492BC5"/>
    <w:rsid w:val="00493EAD"/>
    <w:rsid w:val="004964F1"/>
    <w:rsid w:val="00496AA8"/>
    <w:rsid w:val="004A032B"/>
    <w:rsid w:val="004A16BC"/>
    <w:rsid w:val="004A29CA"/>
    <w:rsid w:val="004A2B94"/>
    <w:rsid w:val="004A3734"/>
    <w:rsid w:val="004A4096"/>
    <w:rsid w:val="004A48C5"/>
    <w:rsid w:val="004B57EE"/>
    <w:rsid w:val="004B6F6A"/>
    <w:rsid w:val="004B7C0C"/>
    <w:rsid w:val="004C3898"/>
    <w:rsid w:val="004D26E2"/>
    <w:rsid w:val="004D36B1"/>
    <w:rsid w:val="004D3B84"/>
    <w:rsid w:val="004D483E"/>
    <w:rsid w:val="004D784F"/>
    <w:rsid w:val="004D7EA2"/>
    <w:rsid w:val="004D7EBD"/>
    <w:rsid w:val="004E00EB"/>
    <w:rsid w:val="004E0ACE"/>
    <w:rsid w:val="004E2680"/>
    <w:rsid w:val="004E28F9"/>
    <w:rsid w:val="004E462E"/>
    <w:rsid w:val="004E4A3B"/>
    <w:rsid w:val="004E56DC"/>
    <w:rsid w:val="004E76F4"/>
    <w:rsid w:val="004F0B4E"/>
    <w:rsid w:val="004F0B6C"/>
    <w:rsid w:val="004F2078"/>
    <w:rsid w:val="004F2F05"/>
    <w:rsid w:val="004F4DA3"/>
    <w:rsid w:val="004F54AF"/>
    <w:rsid w:val="00506557"/>
    <w:rsid w:val="0050677A"/>
    <w:rsid w:val="0051082D"/>
    <w:rsid w:val="005108D8"/>
    <w:rsid w:val="00511561"/>
    <w:rsid w:val="005116F9"/>
    <w:rsid w:val="005153A7"/>
    <w:rsid w:val="0052073B"/>
    <w:rsid w:val="005219CF"/>
    <w:rsid w:val="00527813"/>
    <w:rsid w:val="00534B59"/>
    <w:rsid w:val="00536759"/>
    <w:rsid w:val="00537911"/>
    <w:rsid w:val="00537C62"/>
    <w:rsid w:val="005428D8"/>
    <w:rsid w:val="00545FAE"/>
    <w:rsid w:val="00546970"/>
    <w:rsid w:val="0055282C"/>
    <w:rsid w:val="00554E19"/>
    <w:rsid w:val="0056121F"/>
    <w:rsid w:val="00570943"/>
    <w:rsid w:val="005710CA"/>
    <w:rsid w:val="0057227B"/>
    <w:rsid w:val="00572505"/>
    <w:rsid w:val="00573729"/>
    <w:rsid w:val="005751C9"/>
    <w:rsid w:val="00582809"/>
    <w:rsid w:val="005854B0"/>
    <w:rsid w:val="00586ECD"/>
    <w:rsid w:val="0058798C"/>
    <w:rsid w:val="005900FA"/>
    <w:rsid w:val="005935A4"/>
    <w:rsid w:val="005948C2"/>
    <w:rsid w:val="00595DCA"/>
    <w:rsid w:val="005968C8"/>
    <w:rsid w:val="0059779B"/>
    <w:rsid w:val="005A209A"/>
    <w:rsid w:val="005A3531"/>
    <w:rsid w:val="005A360F"/>
    <w:rsid w:val="005A4EE2"/>
    <w:rsid w:val="005A662D"/>
    <w:rsid w:val="005B1409"/>
    <w:rsid w:val="005B35D7"/>
    <w:rsid w:val="005B392A"/>
    <w:rsid w:val="005B3AA3"/>
    <w:rsid w:val="005B5B6D"/>
    <w:rsid w:val="005B5BF2"/>
    <w:rsid w:val="005B6F83"/>
    <w:rsid w:val="005C74FB"/>
    <w:rsid w:val="005D0298"/>
    <w:rsid w:val="005D1602"/>
    <w:rsid w:val="005D2C5A"/>
    <w:rsid w:val="005E27E0"/>
    <w:rsid w:val="005E385F"/>
    <w:rsid w:val="005E5B81"/>
    <w:rsid w:val="005E6B68"/>
    <w:rsid w:val="005F2CB1"/>
    <w:rsid w:val="005F2F5E"/>
    <w:rsid w:val="005F3025"/>
    <w:rsid w:val="005F618C"/>
    <w:rsid w:val="005F70BD"/>
    <w:rsid w:val="0060283C"/>
    <w:rsid w:val="006030FA"/>
    <w:rsid w:val="00604F14"/>
    <w:rsid w:val="00611B83"/>
    <w:rsid w:val="00612881"/>
    <w:rsid w:val="00613257"/>
    <w:rsid w:val="00616997"/>
    <w:rsid w:val="00620A71"/>
    <w:rsid w:val="00620D80"/>
    <w:rsid w:val="006234A6"/>
    <w:rsid w:val="00630001"/>
    <w:rsid w:val="006311B3"/>
    <w:rsid w:val="0063284C"/>
    <w:rsid w:val="0063497B"/>
    <w:rsid w:val="00635D56"/>
    <w:rsid w:val="00636134"/>
    <w:rsid w:val="00636398"/>
    <w:rsid w:val="006368D3"/>
    <w:rsid w:val="00637561"/>
    <w:rsid w:val="006377EC"/>
    <w:rsid w:val="00640AFB"/>
    <w:rsid w:val="0064151F"/>
    <w:rsid w:val="00641533"/>
    <w:rsid w:val="0064208D"/>
    <w:rsid w:val="00643475"/>
    <w:rsid w:val="0064396A"/>
    <w:rsid w:val="00643CEE"/>
    <w:rsid w:val="0064624E"/>
    <w:rsid w:val="006465F1"/>
    <w:rsid w:val="006479F3"/>
    <w:rsid w:val="00647FD5"/>
    <w:rsid w:val="00650AB9"/>
    <w:rsid w:val="00654A8E"/>
    <w:rsid w:val="00655733"/>
    <w:rsid w:val="00655ACD"/>
    <w:rsid w:val="00656A92"/>
    <w:rsid w:val="00656DDE"/>
    <w:rsid w:val="00656EB3"/>
    <w:rsid w:val="0066011D"/>
    <w:rsid w:val="006607C0"/>
    <w:rsid w:val="006613A6"/>
    <w:rsid w:val="006627A2"/>
    <w:rsid w:val="006634E6"/>
    <w:rsid w:val="00663EFF"/>
    <w:rsid w:val="006655EE"/>
    <w:rsid w:val="00667EE7"/>
    <w:rsid w:val="00670922"/>
    <w:rsid w:val="00670BE1"/>
    <w:rsid w:val="0067218F"/>
    <w:rsid w:val="006741F2"/>
    <w:rsid w:val="00674CC3"/>
    <w:rsid w:val="00675C72"/>
    <w:rsid w:val="006771F9"/>
    <w:rsid w:val="006773FB"/>
    <w:rsid w:val="006776D7"/>
    <w:rsid w:val="00680864"/>
    <w:rsid w:val="00681003"/>
    <w:rsid w:val="006817C9"/>
    <w:rsid w:val="00683DCD"/>
    <w:rsid w:val="00683ECE"/>
    <w:rsid w:val="00692F7D"/>
    <w:rsid w:val="00695FC2"/>
    <w:rsid w:val="00696949"/>
    <w:rsid w:val="00697052"/>
    <w:rsid w:val="006A3814"/>
    <w:rsid w:val="006A3C39"/>
    <w:rsid w:val="006A46FB"/>
    <w:rsid w:val="006A539C"/>
    <w:rsid w:val="006A5E28"/>
    <w:rsid w:val="006A697B"/>
    <w:rsid w:val="006A6A30"/>
    <w:rsid w:val="006A782A"/>
    <w:rsid w:val="006A7AFF"/>
    <w:rsid w:val="006B1816"/>
    <w:rsid w:val="006B201A"/>
    <w:rsid w:val="006B2099"/>
    <w:rsid w:val="006B50CF"/>
    <w:rsid w:val="006B7E4B"/>
    <w:rsid w:val="006C03B8"/>
    <w:rsid w:val="006C28E3"/>
    <w:rsid w:val="006C36C5"/>
    <w:rsid w:val="006C39E5"/>
    <w:rsid w:val="006C5EC9"/>
    <w:rsid w:val="006C6059"/>
    <w:rsid w:val="006C7522"/>
    <w:rsid w:val="006D12B8"/>
    <w:rsid w:val="006D5B45"/>
    <w:rsid w:val="006D6F08"/>
    <w:rsid w:val="006E062C"/>
    <w:rsid w:val="006E1C82"/>
    <w:rsid w:val="006E2052"/>
    <w:rsid w:val="006E28B7"/>
    <w:rsid w:val="006E2A9B"/>
    <w:rsid w:val="006E3310"/>
    <w:rsid w:val="006E4E39"/>
    <w:rsid w:val="006E565E"/>
    <w:rsid w:val="006E673D"/>
    <w:rsid w:val="006E6C9E"/>
    <w:rsid w:val="006E7D3B"/>
    <w:rsid w:val="006F1B70"/>
    <w:rsid w:val="006F27F6"/>
    <w:rsid w:val="006F341D"/>
    <w:rsid w:val="006F3CDE"/>
    <w:rsid w:val="006F473D"/>
    <w:rsid w:val="006F581A"/>
    <w:rsid w:val="006F58D4"/>
    <w:rsid w:val="006F6582"/>
    <w:rsid w:val="00701017"/>
    <w:rsid w:val="0070346E"/>
    <w:rsid w:val="00704EDB"/>
    <w:rsid w:val="00705C7A"/>
    <w:rsid w:val="00706101"/>
    <w:rsid w:val="00707072"/>
    <w:rsid w:val="00707D61"/>
    <w:rsid w:val="00712287"/>
    <w:rsid w:val="00712772"/>
    <w:rsid w:val="00713A70"/>
    <w:rsid w:val="007148D3"/>
    <w:rsid w:val="00715B9A"/>
    <w:rsid w:val="00721B32"/>
    <w:rsid w:val="007257D0"/>
    <w:rsid w:val="00726EA6"/>
    <w:rsid w:val="00727208"/>
    <w:rsid w:val="00727680"/>
    <w:rsid w:val="007278D0"/>
    <w:rsid w:val="007348B1"/>
    <w:rsid w:val="007362A6"/>
    <w:rsid w:val="00736D7D"/>
    <w:rsid w:val="00740E58"/>
    <w:rsid w:val="007445A0"/>
    <w:rsid w:val="0074524B"/>
    <w:rsid w:val="00747D8B"/>
    <w:rsid w:val="00747FD4"/>
    <w:rsid w:val="00751228"/>
    <w:rsid w:val="00753630"/>
    <w:rsid w:val="007571E1"/>
    <w:rsid w:val="007604B2"/>
    <w:rsid w:val="007614C4"/>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97F1D"/>
    <w:rsid w:val="007A1525"/>
    <w:rsid w:val="007A1CB3"/>
    <w:rsid w:val="007A306F"/>
    <w:rsid w:val="007A33EC"/>
    <w:rsid w:val="007A43A6"/>
    <w:rsid w:val="007A44B6"/>
    <w:rsid w:val="007A58A6"/>
    <w:rsid w:val="007B23C8"/>
    <w:rsid w:val="007B2E1F"/>
    <w:rsid w:val="007B3768"/>
    <w:rsid w:val="007B3D2D"/>
    <w:rsid w:val="007B50AE"/>
    <w:rsid w:val="007B51DF"/>
    <w:rsid w:val="007B562A"/>
    <w:rsid w:val="007C05DD"/>
    <w:rsid w:val="007C3D18"/>
    <w:rsid w:val="007C60BF"/>
    <w:rsid w:val="007C6A07"/>
    <w:rsid w:val="007C75A1"/>
    <w:rsid w:val="007C77A5"/>
    <w:rsid w:val="007D04E5"/>
    <w:rsid w:val="007D5901"/>
    <w:rsid w:val="007D7526"/>
    <w:rsid w:val="007E4610"/>
    <w:rsid w:val="007E4715"/>
    <w:rsid w:val="007E505B"/>
    <w:rsid w:val="007E5335"/>
    <w:rsid w:val="007E5751"/>
    <w:rsid w:val="007E6039"/>
    <w:rsid w:val="007E7091"/>
    <w:rsid w:val="007E7D32"/>
    <w:rsid w:val="007F5AF0"/>
    <w:rsid w:val="007F5C71"/>
    <w:rsid w:val="007F6BEA"/>
    <w:rsid w:val="007F7FF9"/>
    <w:rsid w:val="008019FB"/>
    <w:rsid w:val="00802121"/>
    <w:rsid w:val="008037E6"/>
    <w:rsid w:val="00803FAE"/>
    <w:rsid w:val="0080605F"/>
    <w:rsid w:val="00807786"/>
    <w:rsid w:val="00811FCB"/>
    <w:rsid w:val="008158D6"/>
    <w:rsid w:val="008161F5"/>
    <w:rsid w:val="00817196"/>
    <w:rsid w:val="008235DB"/>
    <w:rsid w:val="008245EC"/>
    <w:rsid w:val="00824AB4"/>
    <w:rsid w:val="00825C42"/>
    <w:rsid w:val="00825D25"/>
    <w:rsid w:val="00827D6F"/>
    <w:rsid w:val="00835457"/>
    <w:rsid w:val="008376AC"/>
    <w:rsid w:val="00837713"/>
    <w:rsid w:val="00841994"/>
    <w:rsid w:val="008444E8"/>
    <w:rsid w:val="00844E80"/>
    <w:rsid w:val="00846FE7"/>
    <w:rsid w:val="008515FF"/>
    <w:rsid w:val="00856911"/>
    <w:rsid w:val="00863E3D"/>
    <w:rsid w:val="008660AC"/>
    <w:rsid w:val="00866F1E"/>
    <w:rsid w:val="008677FD"/>
    <w:rsid w:val="008706D4"/>
    <w:rsid w:val="00870A97"/>
    <w:rsid w:val="00870F8A"/>
    <w:rsid w:val="008719A4"/>
    <w:rsid w:val="00871D23"/>
    <w:rsid w:val="00874312"/>
    <w:rsid w:val="0087437C"/>
    <w:rsid w:val="00875CD7"/>
    <w:rsid w:val="00876207"/>
    <w:rsid w:val="00876B4D"/>
    <w:rsid w:val="00877F18"/>
    <w:rsid w:val="0089024D"/>
    <w:rsid w:val="008941E3"/>
    <w:rsid w:val="00894A88"/>
    <w:rsid w:val="00895386"/>
    <w:rsid w:val="008A21FF"/>
    <w:rsid w:val="008A2CE2"/>
    <w:rsid w:val="008A30AC"/>
    <w:rsid w:val="008A4320"/>
    <w:rsid w:val="008A44B8"/>
    <w:rsid w:val="008A51A8"/>
    <w:rsid w:val="008A54C7"/>
    <w:rsid w:val="008A6FB9"/>
    <w:rsid w:val="008A77D8"/>
    <w:rsid w:val="008B0483"/>
    <w:rsid w:val="008B120C"/>
    <w:rsid w:val="008B1906"/>
    <w:rsid w:val="008B51A0"/>
    <w:rsid w:val="008B592A"/>
    <w:rsid w:val="008B7B5C"/>
    <w:rsid w:val="008C00ED"/>
    <w:rsid w:val="008C0C99"/>
    <w:rsid w:val="008C2017"/>
    <w:rsid w:val="008C31BB"/>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9A1"/>
    <w:rsid w:val="0090336B"/>
    <w:rsid w:val="009053AA"/>
    <w:rsid w:val="00906939"/>
    <w:rsid w:val="00907124"/>
    <w:rsid w:val="00910B7D"/>
    <w:rsid w:val="00911DFB"/>
    <w:rsid w:val="009139D9"/>
    <w:rsid w:val="00914AD8"/>
    <w:rsid w:val="00914B41"/>
    <w:rsid w:val="00914BE7"/>
    <w:rsid w:val="00914DD1"/>
    <w:rsid w:val="00916079"/>
    <w:rsid w:val="00916194"/>
    <w:rsid w:val="00917CE9"/>
    <w:rsid w:val="0092075B"/>
    <w:rsid w:val="00920953"/>
    <w:rsid w:val="00920BF2"/>
    <w:rsid w:val="00922010"/>
    <w:rsid w:val="00923EC6"/>
    <w:rsid w:val="00926AEE"/>
    <w:rsid w:val="00931BD9"/>
    <w:rsid w:val="0093465E"/>
    <w:rsid w:val="009368F3"/>
    <w:rsid w:val="00936C5E"/>
    <w:rsid w:val="00937A91"/>
    <w:rsid w:val="009401EB"/>
    <w:rsid w:val="00941636"/>
    <w:rsid w:val="00943742"/>
    <w:rsid w:val="00945C05"/>
    <w:rsid w:val="00946945"/>
    <w:rsid w:val="00947713"/>
    <w:rsid w:val="00950DE7"/>
    <w:rsid w:val="00953920"/>
    <w:rsid w:val="00953D47"/>
    <w:rsid w:val="00953F5B"/>
    <w:rsid w:val="009562E0"/>
    <w:rsid w:val="0095681E"/>
    <w:rsid w:val="009572D4"/>
    <w:rsid w:val="00961921"/>
    <w:rsid w:val="009627AD"/>
    <w:rsid w:val="0096430A"/>
    <w:rsid w:val="00964601"/>
    <w:rsid w:val="00964C38"/>
    <w:rsid w:val="0096554B"/>
    <w:rsid w:val="0096584A"/>
    <w:rsid w:val="00971F08"/>
    <w:rsid w:val="00974E97"/>
    <w:rsid w:val="0097603D"/>
    <w:rsid w:val="00976949"/>
    <w:rsid w:val="009801D0"/>
    <w:rsid w:val="00980477"/>
    <w:rsid w:val="00985253"/>
    <w:rsid w:val="009853B3"/>
    <w:rsid w:val="0098717B"/>
    <w:rsid w:val="00990630"/>
    <w:rsid w:val="00991761"/>
    <w:rsid w:val="00994DCA"/>
    <w:rsid w:val="0099608C"/>
    <w:rsid w:val="009960EC"/>
    <w:rsid w:val="009970DD"/>
    <w:rsid w:val="009975EA"/>
    <w:rsid w:val="009A0FBA"/>
    <w:rsid w:val="009A1601"/>
    <w:rsid w:val="009A3BB6"/>
    <w:rsid w:val="009A462D"/>
    <w:rsid w:val="009A5CBA"/>
    <w:rsid w:val="009B1F30"/>
    <w:rsid w:val="009B3536"/>
    <w:rsid w:val="009B3AC2"/>
    <w:rsid w:val="009B4DF4"/>
    <w:rsid w:val="009B564E"/>
    <w:rsid w:val="009B7E87"/>
    <w:rsid w:val="009C0169"/>
    <w:rsid w:val="009C1D8C"/>
    <w:rsid w:val="009C403E"/>
    <w:rsid w:val="009D2510"/>
    <w:rsid w:val="009D2B46"/>
    <w:rsid w:val="009D4FF0"/>
    <w:rsid w:val="009D703C"/>
    <w:rsid w:val="009D718F"/>
    <w:rsid w:val="009E068F"/>
    <w:rsid w:val="009E14E0"/>
    <w:rsid w:val="009E35DB"/>
    <w:rsid w:val="009E47A3"/>
    <w:rsid w:val="009F08F3"/>
    <w:rsid w:val="009F344F"/>
    <w:rsid w:val="009F3BC5"/>
    <w:rsid w:val="009F3F92"/>
    <w:rsid w:val="00A00C46"/>
    <w:rsid w:val="00A031D8"/>
    <w:rsid w:val="00A048A8"/>
    <w:rsid w:val="00A04F49"/>
    <w:rsid w:val="00A13A3B"/>
    <w:rsid w:val="00A13E54"/>
    <w:rsid w:val="00A177EA"/>
    <w:rsid w:val="00A17F63"/>
    <w:rsid w:val="00A2193B"/>
    <w:rsid w:val="00A22D54"/>
    <w:rsid w:val="00A2351A"/>
    <w:rsid w:val="00A264A9"/>
    <w:rsid w:val="00A26DCF"/>
    <w:rsid w:val="00A27785"/>
    <w:rsid w:val="00A30187"/>
    <w:rsid w:val="00A3448A"/>
    <w:rsid w:val="00A36297"/>
    <w:rsid w:val="00A41E2B"/>
    <w:rsid w:val="00A428D5"/>
    <w:rsid w:val="00A4481A"/>
    <w:rsid w:val="00A45B74"/>
    <w:rsid w:val="00A510A3"/>
    <w:rsid w:val="00A52E1D"/>
    <w:rsid w:val="00A60E11"/>
    <w:rsid w:val="00A61499"/>
    <w:rsid w:val="00A6274B"/>
    <w:rsid w:val="00A62A77"/>
    <w:rsid w:val="00A63483"/>
    <w:rsid w:val="00A657D7"/>
    <w:rsid w:val="00A660AC"/>
    <w:rsid w:val="00A67E6C"/>
    <w:rsid w:val="00A71B99"/>
    <w:rsid w:val="00A739D0"/>
    <w:rsid w:val="00A74B87"/>
    <w:rsid w:val="00A761D4"/>
    <w:rsid w:val="00A77EC4"/>
    <w:rsid w:val="00A805D4"/>
    <w:rsid w:val="00A8117C"/>
    <w:rsid w:val="00A843E1"/>
    <w:rsid w:val="00A855D5"/>
    <w:rsid w:val="00A862FD"/>
    <w:rsid w:val="00A915B3"/>
    <w:rsid w:val="00A92879"/>
    <w:rsid w:val="00A9442A"/>
    <w:rsid w:val="00A972DC"/>
    <w:rsid w:val="00AA016F"/>
    <w:rsid w:val="00AA1ED6"/>
    <w:rsid w:val="00AA51D6"/>
    <w:rsid w:val="00AA7BEB"/>
    <w:rsid w:val="00AB0BC8"/>
    <w:rsid w:val="00AB11CA"/>
    <w:rsid w:val="00AB14D9"/>
    <w:rsid w:val="00AB17CB"/>
    <w:rsid w:val="00AB4AB8"/>
    <w:rsid w:val="00AB52E4"/>
    <w:rsid w:val="00AB655E"/>
    <w:rsid w:val="00AB755D"/>
    <w:rsid w:val="00AC007F"/>
    <w:rsid w:val="00AC2ECD"/>
    <w:rsid w:val="00AC3119"/>
    <w:rsid w:val="00AC39F7"/>
    <w:rsid w:val="00AC49FB"/>
    <w:rsid w:val="00AC5A10"/>
    <w:rsid w:val="00AD0AA3"/>
    <w:rsid w:val="00AD2ED0"/>
    <w:rsid w:val="00AD3F94"/>
    <w:rsid w:val="00AD4A5A"/>
    <w:rsid w:val="00AD6FA8"/>
    <w:rsid w:val="00AE175D"/>
    <w:rsid w:val="00AE217F"/>
    <w:rsid w:val="00AE27AC"/>
    <w:rsid w:val="00AE40E0"/>
    <w:rsid w:val="00AE44D8"/>
    <w:rsid w:val="00AE4DBA"/>
    <w:rsid w:val="00AE4F07"/>
    <w:rsid w:val="00AE6461"/>
    <w:rsid w:val="00AF1C5D"/>
    <w:rsid w:val="00AF20E4"/>
    <w:rsid w:val="00AF42D7"/>
    <w:rsid w:val="00B006FE"/>
    <w:rsid w:val="00B007CB"/>
    <w:rsid w:val="00B02AA9"/>
    <w:rsid w:val="00B02CFB"/>
    <w:rsid w:val="00B02FA3"/>
    <w:rsid w:val="00B05084"/>
    <w:rsid w:val="00B0553E"/>
    <w:rsid w:val="00B07C72"/>
    <w:rsid w:val="00B1541D"/>
    <w:rsid w:val="00B157F9"/>
    <w:rsid w:val="00B20256"/>
    <w:rsid w:val="00B20D09"/>
    <w:rsid w:val="00B22D93"/>
    <w:rsid w:val="00B2757F"/>
    <w:rsid w:val="00B2763F"/>
    <w:rsid w:val="00B27AAC"/>
    <w:rsid w:val="00B30929"/>
    <w:rsid w:val="00B3547B"/>
    <w:rsid w:val="00B36334"/>
    <w:rsid w:val="00B372AA"/>
    <w:rsid w:val="00B37B1F"/>
    <w:rsid w:val="00B40445"/>
    <w:rsid w:val="00B409E0"/>
    <w:rsid w:val="00B41888"/>
    <w:rsid w:val="00B41FE5"/>
    <w:rsid w:val="00B458C2"/>
    <w:rsid w:val="00B45A52"/>
    <w:rsid w:val="00B45CB8"/>
    <w:rsid w:val="00B46175"/>
    <w:rsid w:val="00B548B7"/>
    <w:rsid w:val="00B57DF4"/>
    <w:rsid w:val="00B62D1B"/>
    <w:rsid w:val="00B65D49"/>
    <w:rsid w:val="00B65E6D"/>
    <w:rsid w:val="00B664C7"/>
    <w:rsid w:val="00B674BB"/>
    <w:rsid w:val="00B713D8"/>
    <w:rsid w:val="00B739F6"/>
    <w:rsid w:val="00B762D7"/>
    <w:rsid w:val="00B81198"/>
    <w:rsid w:val="00B81A6C"/>
    <w:rsid w:val="00B81A73"/>
    <w:rsid w:val="00B85DE5"/>
    <w:rsid w:val="00B8662C"/>
    <w:rsid w:val="00B90F73"/>
    <w:rsid w:val="00B925DF"/>
    <w:rsid w:val="00B93B59"/>
    <w:rsid w:val="00B9406A"/>
    <w:rsid w:val="00BA10E6"/>
    <w:rsid w:val="00BA2280"/>
    <w:rsid w:val="00BA2A08"/>
    <w:rsid w:val="00BA56D2"/>
    <w:rsid w:val="00BA76E0"/>
    <w:rsid w:val="00BB2A25"/>
    <w:rsid w:val="00BB4A33"/>
    <w:rsid w:val="00BB51E9"/>
    <w:rsid w:val="00BC0FDC"/>
    <w:rsid w:val="00BC3053"/>
    <w:rsid w:val="00BC4B3E"/>
    <w:rsid w:val="00BC4D2E"/>
    <w:rsid w:val="00BC55EC"/>
    <w:rsid w:val="00BC56C2"/>
    <w:rsid w:val="00BD48AC"/>
    <w:rsid w:val="00BD5F1A"/>
    <w:rsid w:val="00BE1234"/>
    <w:rsid w:val="00BE2B1B"/>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BE0"/>
    <w:rsid w:val="00C13327"/>
    <w:rsid w:val="00C1417F"/>
    <w:rsid w:val="00C14D4B"/>
    <w:rsid w:val="00C154BB"/>
    <w:rsid w:val="00C215D7"/>
    <w:rsid w:val="00C22E60"/>
    <w:rsid w:val="00C273D6"/>
    <w:rsid w:val="00C279B5"/>
    <w:rsid w:val="00C27C45"/>
    <w:rsid w:val="00C336FE"/>
    <w:rsid w:val="00C33DB6"/>
    <w:rsid w:val="00C3719D"/>
    <w:rsid w:val="00C37CB2"/>
    <w:rsid w:val="00C473A5"/>
    <w:rsid w:val="00C53CD6"/>
    <w:rsid w:val="00C54995"/>
    <w:rsid w:val="00C54D41"/>
    <w:rsid w:val="00C56DBD"/>
    <w:rsid w:val="00C603DD"/>
    <w:rsid w:val="00C60783"/>
    <w:rsid w:val="00C64672"/>
    <w:rsid w:val="00C64F09"/>
    <w:rsid w:val="00C659B3"/>
    <w:rsid w:val="00C70697"/>
    <w:rsid w:val="00C714C2"/>
    <w:rsid w:val="00C72093"/>
    <w:rsid w:val="00C72EF4"/>
    <w:rsid w:val="00C744FE"/>
    <w:rsid w:val="00C75D2F"/>
    <w:rsid w:val="00C767BE"/>
    <w:rsid w:val="00C76E3C"/>
    <w:rsid w:val="00C81568"/>
    <w:rsid w:val="00C820A2"/>
    <w:rsid w:val="00C82D31"/>
    <w:rsid w:val="00C9027A"/>
    <w:rsid w:val="00C9068E"/>
    <w:rsid w:val="00C91EBE"/>
    <w:rsid w:val="00C92409"/>
    <w:rsid w:val="00C9304C"/>
    <w:rsid w:val="00C93814"/>
    <w:rsid w:val="00C93C4B"/>
    <w:rsid w:val="00C944AB"/>
    <w:rsid w:val="00C95B40"/>
    <w:rsid w:val="00C96DE3"/>
    <w:rsid w:val="00CA1ED8"/>
    <w:rsid w:val="00CA3223"/>
    <w:rsid w:val="00CA379A"/>
    <w:rsid w:val="00CA78BA"/>
    <w:rsid w:val="00CB1185"/>
    <w:rsid w:val="00CB1F63"/>
    <w:rsid w:val="00CB7170"/>
    <w:rsid w:val="00CB7844"/>
    <w:rsid w:val="00CC040E"/>
    <w:rsid w:val="00CC111F"/>
    <w:rsid w:val="00CC2011"/>
    <w:rsid w:val="00CC3EA0"/>
    <w:rsid w:val="00CC7B45"/>
    <w:rsid w:val="00CC7E4A"/>
    <w:rsid w:val="00CD1188"/>
    <w:rsid w:val="00CD2ED1"/>
    <w:rsid w:val="00CD337B"/>
    <w:rsid w:val="00CE0424"/>
    <w:rsid w:val="00CE0DE3"/>
    <w:rsid w:val="00CE211E"/>
    <w:rsid w:val="00CE23AF"/>
    <w:rsid w:val="00CE7561"/>
    <w:rsid w:val="00CF1354"/>
    <w:rsid w:val="00CF3B1F"/>
    <w:rsid w:val="00CF3BF6"/>
    <w:rsid w:val="00CF625B"/>
    <w:rsid w:val="00CF687E"/>
    <w:rsid w:val="00D019A2"/>
    <w:rsid w:val="00D0349B"/>
    <w:rsid w:val="00D10249"/>
    <w:rsid w:val="00D115C3"/>
    <w:rsid w:val="00D11897"/>
    <w:rsid w:val="00D13135"/>
    <w:rsid w:val="00D13E4E"/>
    <w:rsid w:val="00D1784F"/>
    <w:rsid w:val="00D239A7"/>
    <w:rsid w:val="00D23F47"/>
    <w:rsid w:val="00D27168"/>
    <w:rsid w:val="00D36E71"/>
    <w:rsid w:val="00D37380"/>
    <w:rsid w:val="00D37489"/>
    <w:rsid w:val="00D37D87"/>
    <w:rsid w:val="00D40B33"/>
    <w:rsid w:val="00D4318F"/>
    <w:rsid w:val="00D438BF"/>
    <w:rsid w:val="00D440F8"/>
    <w:rsid w:val="00D5419C"/>
    <w:rsid w:val="00D546FF"/>
    <w:rsid w:val="00D55AD5"/>
    <w:rsid w:val="00D56A01"/>
    <w:rsid w:val="00D576CA"/>
    <w:rsid w:val="00D61AF5"/>
    <w:rsid w:val="00D631DE"/>
    <w:rsid w:val="00D64825"/>
    <w:rsid w:val="00D652B5"/>
    <w:rsid w:val="00D66155"/>
    <w:rsid w:val="00D708B0"/>
    <w:rsid w:val="00D7301B"/>
    <w:rsid w:val="00D73FF6"/>
    <w:rsid w:val="00D77B1D"/>
    <w:rsid w:val="00D8021F"/>
    <w:rsid w:val="00D80383"/>
    <w:rsid w:val="00D80C0D"/>
    <w:rsid w:val="00D823C6"/>
    <w:rsid w:val="00D8327F"/>
    <w:rsid w:val="00D85817"/>
    <w:rsid w:val="00D86CA3"/>
    <w:rsid w:val="00D871CE"/>
    <w:rsid w:val="00D9196D"/>
    <w:rsid w:val="00D92982"/>
    <w:rsid w:val="00D94302"/>
    <w:rsid w:val="00D96409"/>
    <w:rsid w:val="00DA305E"/>
    <w:rsid w:val="00DA5417"/>
    <w:rsid w:val="00DA56E8"/>
    <w:rsid w:val="00DB0A9F"/>
    <w:rsid w:val="00DB377D"/>
    <w:rsid w:val="00DC2D36"/>
    <w:rsid w:val="00DC53EF"/>
    <w:rsid w:val="00DC681A"/>
    <w:rsid w:val="00DE5608"/>
    <w:rsid w:val="00DE58D0"/>
    <w:rsid w:val="00DE654F"/>
    <w:rsid w:val="00DF0B6E"/>
    <w:rsid w:val="00DF15E0"/>
    <w:rsid w:val="00DF37A0"/>
    <w:rsid w:val="00DF37BC"/>
    <w:rsid w:val="00DF681E"/>
    <w:rsid w:val="00DF69DF"/>
    <w:rsid w:val="00E0181B"/>
    <w:rsid w:val="00E10E36"/>
    <w:rsid w:val="00E110E7"/>
    <w:rsid w:val="00E11B20"/>
    <w:rsid w:val="00E17FA2"/>
    <w:rsid w:val="00E22330"/>
    <w:rsid w:val="00E25A9A"/>
    <w:rsid w:val="00E27F78"/>
    <w:rsid w:val="00E30B5A"/>
    <w:rsid w:val="00E3123D"/>
    <w:rsid w:val="00E31461"/>
    <w:rsid w:val="00E31D43"/>
    <w:rsid w:val="00E32608"/>
    <w:rsid w:val="00E32BC9"/>
    <w:rsid w:val="00E34188"/>
    <w:rsid w:val="00E34B6E"/>
    <w:rsid w:val="00E35559"/>
    <w:rsid w:val="00E3723A"/>
    <w:rsid w:val="00E37860"/>
    <w:rsid w:val="00E42C27"/>
    <w:rsid w:val="00E4407D"/>
    <w:rsid w:val="00E446F1"/>
    <w:rsid w:val="00E44C43"/>
    <w:rsid w:val="00E46886"/>
    <w:rsid w:val="00E47AEF"/>
    <w:rsid w:val="00E514F8"/>
    <w:rsid w:val="00E53B75"/>
    <w:rsid w:val="00E54E3B"/>
    <w:rsid w:val="00E5512E"/>
    <w:rsid w:val="00E57565"/>
    <w:rsid w:val="00E63838"/>
    <w:rsid w:val="00E64434"/>
    <w:rsid w:val="00E67C51"/>
    <w:rsid w:val="00E72EFC"/>
    <w:rsid w:val="00E73C2B"/>
    <w:rsid w:val="00E758EC"/>
    <w:rsid w:val="00E8234C"/>
    <w:rsid w:val="00E83AA9"/>
    <w:rsid w:val="00E83F02"/>
    <w:rsid w:val="00E85928"/>
    <w:rsid w:val="00E87822"/>
    <w:rsid w:val="00E8798F"/>
    <w:rsid w:val="00E90395"/>
    <w:rsid w:val="00E90E49"/>
    <w:rsid w:val="00E917F9"/>
    <w:rsid w:val="00E9291C"/>
    <w:rsid w:val="00E93FFE"/>
    <w:rsid w:val="00E94F8A"/>
    <w:rsid w:val="00EA22E2"/>
    <w:rsid w:val="00EA5550"/>
    <w:rsid w:val="00EA6A96"/>
    <w:rsid w:val="00EA7A41"/>
    <w:rsid w:val="00EB077B"/>
    <w:rsid w:val="00EB4EA2"/>
    <w:rsid w:val="00EB68EA"/>
    <w:rsid w:val="00EC24D5"/>
    <w:rsid w:val="00EC27C6"/>
    <w:rsid w:val="00EC4207"/>
    <w:rsid w:val="00EC5653"/>
    <w:rsid w:val="00EC65EF"/>
    <w:rsid w:val="00EC6D32"/>
    <w:rsid w:val="00EC71CE"/>
    <w:rsid w:val="00ED1006"/>
    <w:rsid w:val="00ED2710"/>
    <w:rsid w:val="00EE1C99"/>
    <w:rsid w:val="00EE6FD6"/>
    <w:rsid w:val="00EF18FE"/>
    <w:rsid w:val="00EF5787"/>
    <w:rsid w:val="00EF60D0"/>
    <w:rsid w:val="00F04D59"/>
    <w:rsid w:val="00F0528D"/>
    <w:rsid w:val="00F0670A"/>
    <w:rsid w:val="00F06C67"/>
    <w:rsid w:val="00F06DFD"/>
    <w:rsid w:val="00F071D1"/>
    <w:rsid w:val="00F07533"/>
    <w:rsid w:val="00F10629"/>
    <w:rsid w:val="00F12CE0"/>
    <w:rsid w:val="00F14051"/>
    <w:rsid w:val="00F15FA5"/>
    <w:rsid w:val="00F209B7"/>
    <w:rsid w:val="00F2376F"/>
    <w:rsid w:val="00F243D8"/>
    <w:rsid w:val="00F245DA"/>
    <w:rsid w:val="00F245DD"/>
    <w:rsid w:val="00F3017E"/>
    <w:rsid w:val="00F3043F"/>
    <w:rsid w:val="00F30828"/>
    <w:rsid w:val="00F313D6"/>
    <w:rsid w:val="00F32242"/>
    <w:rsid w:val="00F32AD9"/>
    <w:rsid w:val="00F32AFE"/>
    <w:rsid w:val="00F40F0C"/>
    <w:rsid w:val="00F428F4"/>
    <w:rsid w:val="00F42DAA"/>
    <w:rsid w:val="00F4766C"/>
    <w:rsid w:val="00F5060E"/>
    <w:rsid w:val="00F50626"/>
    <w:rsid w:val="00F507D1"/>
    <w:rsid w:val="00F519CE"/>
    <w:rsid w:val="00F51ADA"/>
    <w:rsid w:val="00F51D8E"/>
    <w:rsid w:val="00F56CE5"/>
    <w:rsid w:val="00F60203"/>
    <w:rsid w:val="00F606BA"/>
    <w:rsid w:val="00F607C5"/>
    <w:rsid w:val="00F60B05"/>
    <w:rsid w:val="00F60DEA"/>
    <w:rsid w:val="00F61A17"/>
    <w:rsid w:val="00F6302A"/>
    <w:rsid w:val="00F63950"/>
    <w:rsid w:val="00F63DA0"/>
    <w:rsid w:val="00F64485"/>
    <w:rsid w:val="00F64C2B"/>
    <w:rsid w:val="00F64CE2"/>
    <w:rsid w:val="00F651BE"/>
    <w:rsid w:val="00F67F53"/>
    <w:rsid w:val="00F703BE"/>
    <w:rsid w:val="00F71F69"/>
    <w:rsid w:val="00F72B72"/>
    <w:rsid w:val="00F74BB9"/>
    <w:rsid w:val="00F75582"/>
    <w:rsid w:val="00F76EFA"/>
    <w:rsid w:val="00F804BE"/>
    <w:rsid w:val="00F817CE"/>
    <w:rsid w:val="00F823F1"/>
    <w:rsid w:val="00F8456C"/>
    <w:rsid w:val="00F859D8"/>
    <w:rsid w:val="00F86087"/>
    <w:rsid w:val="00F868F5"/>
    <w:rsid w:val="00F90277"/>
    <w:rsid w:val="00F9056A"/>
    <w:rsid w:val="00F90F8D"/>
    <w:rsid w:val="00F92782"/>
    <w:rsid w:val="00F93AA9"/>
    <w:rsid w:val="00F96985"/>
    <w:rsid w:val="00F97642"/>
    <w:rsid w:val="00F97838"/>
    <w:rsid w:val="00FA2BB3"/>
    <w:rsid w:val="00FA6C5A"/>
    <w:rsid w:val="00FB4C80"/>
    <w:rsid w:val="00FB6A6A"/>
    <w:rsid w:val="00FC063B"/>
    <w:rsid w:val="00FC40B4"/>
    <w:rsid w:val="00FC7429"/>
    <w:rsid w:val="00FD02CF"/>
    <w:rsid w:val="00FD07F6"/>
    <w:rsid w:val="00FD1D6D"/>
    <w:rsid w:val="00FD1EC8"/>
    <w:rsid w:val="00FD2272"/>
    <w:rsid w:val="00FD47ED"/>
    <w:rsid w:val="00FD74DB"/>
    <w:rsid w:val="00FD7660"/>
    <w:rsid w:val="00FE0655"/>
    <w:rsid w:val="00FE10DA"/>
    <w:rsid w:val="00FE2365"/>
    <w:rsid w:val="00FE280D"/>
    <w:rsid w:val="00FE37D7"/>
    <w:rsid w:val="00FE4C7B"/>
    <w:rsid w:val="00FE7336"/>
    <w:rsid w:val="00FE787C"/>
    <w:rsid w:val="00FF442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23"/>
      </w:numPr>
      <w:spacing w:before="60" w:after="0" w:line="240" w:lineRule="auto"/>
    </w:pPr>
    <w:rPr>
      <w:rFonts w:eastAsia="MS Mincho" w:cs="Times New Roman"/>
      <w:b/>
      <w:szCs w:val="24"/>
      <w:lang w:val="en-GB" w:eastAsia="en-GB"/>
    </w:rPr>
  </w:style>
  <w:style w:type="character" w:customStyle="1" w:styleId="ProposalChar">
    <w:name w:val="Proposal Char"/>
    <w:basedOn w:val="DefaultParagraphFont"/>
    <w:link w:val="Proposal"/>
    <w:qFormat/>
    <w:rsid w:val="009F3F92"/>
    <w:rPr>
      <w:rFonts w:ascii="Arial" w:eastAsiaTheme="minorHAnsi" w:hAnsi="Arial" w:cstheme="minorBidi"/>
      <w:b/>
      <w:bCs/>
      <w:szCs w:val="22"/>
      <w:lang w:val="en-US" w:eastAsia="zh-CN"/>
    </w:rPr>
  </w:style>
  <w:style w:type="character" w:customStyle="1" w:styleId="TACChar">
    <w:name w:val="TAC Char"/>
    <w:link w:val="TAC"/>
    <w:qFormat/>
    <w:rsid w:val="00F245DD"/>
    <w:rPr>
      <w:rFonts w:ascii="Arial" w:eastAsiaTheme="minorHAnsi" w:hAnsi="Arial" w:cstheme="minorBidi"/>
      <w:sz w:val="18"/>
      <w:szCs w:val="22"/>
      <w:lang w:val="x-none" w:eastAsia="x-none"/>
    </w:rPr>
  </w:style>
  <w:style w:type="table" w:styleId="GridTable4-Accent3">
    <w:name w:val="Grid Table 4 Accent 3"/>
    <w:basedOn w:val="TableNormal"/>
    <w:uiPriority w:val="49"/>
    <w:locked/>
    <w:rsid w:val="00D5419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3E7610"/>
    <w:rPr>
      <w:color w:val="605E5C"/>
      <w:shd w:val="clear" w:color="auto" w:fill="E1DFDD"/>
    </w:rPr>
  </w:style>
  <w:style w:type="character" w:styleId="Mention">
    <w:name w:val="Mention"/>
    <w:basedOn w:val="DefaultParagraphFont"/>
    <w:uiPriority w:val="99"/>
    <w:unhideWhenUsed/>
    <w:rsid w:val="003E7610"/>
    <w:rPr>
      <w:color w:val="2B579A"/>
      <w:shd w:val="clear" w:color="auto" w:fill="E1DFDD"/>
    </w:rPr>
  </w:style>
  <w:style w:type="paragraph" w:styleId="Revision">
    <w:name w:val="Revision"/>
    <w:hidden/>
    <w:uiPriority w:val="99"/>
    <w:semiHidden/>
    <w:rsid w:val="005968C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631713380">
      <w:bodyDiv w:val="1"/>
      <w:marLeft w:val="0"/>
      <w:marRight w:val="0"/>
      <w:marTop w:val="0"/>
      <w:marBottom w:val="0"/>
      <w:divBdr>
        <w:top w:val="none" w:sz="0" w:space="0" w:color="auto"/>
        <w:left w:val="none" w:sz="0" w:space="0" w:color="auto"/>
        <w:bottom w:val="none" w:sz="0" w:space="0" w:color="auto"/>
        <w:right w:val="none" w:sz="0" w:space="0" w:color="auto"/>
      </w:divBdr>
    </w:div>
    <w:div w:id="1153521254">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www.w3.org/XML/1998/namespace"/>
    <ds:schemaRef ds:uri="http://purl.org/dc/elements/1.1/"/>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7405</TotalTime>
  <Pages>12</Pages>
  <Words>4577</Words>
  <Characters>25311</Characters>
  <Application>Microsoft Office Word</Application>
  <DocSecurity>0</DocSecurity>
  <Lines>973</Lines>
  <Paragraphs>452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204</cp:revision>
  <cp:lastPrinted>2008-01-31T16:09:00Z</cp:lastPrinted>
  <dcterms:created xsi:type="dcterms:W3CDTF">2022-09-23T07:11:00Z</dcterms:created>
  <dcterms:modified xsi:type="dcterms:W3CDTF">2023-04-07T08:42:00Z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